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28E55" w14:textId="77777777" w:rsidR="00FB714F" w:rsidRPr="00B01233" w:rsidRDefault="00D513BE" w:rsidP="00EA3662">
      <w:pPr>
        <w:jc w:val="center"/>
        <w:rPr>
          <w:b/>
          <w:sz w:val="22"/>
        </w:rPr>
      </w:pPr>
      <w:r w:rsidRPr="00B01233">
        <w:rPr>
          <w:b/>
          <w:sz w:val="22"/>
        </w:rPr>
        <w:t xml:space="preserve">Modelo predictivo para </w:t>
      </w:r>
      <w:r w:rsidR="00295A0B" w:rsidRPr="00B01233">
        <w:rPr>
          <w:b/>
          <w:sz w:val="22"/>
        </w:rPr>
        <w:t xml:space="preserve">el </w:t>
      </w:r>
      <w:r w:rsidRPr="00B01233">
        <w:rPr>
          <w:b/>
          <w:sz w:val="22"/>
        </w:rPr>
        <w:t xml:space="preserve">análisis de </w:t>
      </w:r>
      <w:r w:rsidR="001D3711" w:rsidRPr="00B01233">
        <w:rPr>
          <w:b/>
          <w:sz w:val="22"/>
        </w:rPr>
        <w:t>pé</w:t>
      </w:r>
      <w:r w:rsidRPr="00B01233">
        <w:rPr>
          <w:b/>
          <w:sz w:val="22"/>
        </w:rPr>
        <w:t>rdidas industriales en</w:t>
      </w:r>
      <w:r w:rsidR="001D3711" w:rsidRPr="00B01233">
        <w:rPr>
          <w:b/>
          <w:sz w:val="22"/>
        </w:rPr>
        <w:t xml:space="preserve"> un</w:t>
      </w:r>
      <w:r w:rsidRPr="00B01233">
        <w:rPr>
          <w:b/>
          <w:sz w:val="22"/>
        </w:rPr>
        <w:t xml:space="preserve"> proceso azucarero</w:t>
      </w:r>
    </w:p>
    <w:p w14:paraId="7AAB4870" w14:textId="77777777" w:rsidR="00EA6258" w:rsidRPr="00EA6258" w:rsidRDefault="00EA6258" w:rsidP="00EA3662">
      <w:pPr>
        <w:jc w:val="center"/>
        <w:rPr>
          <w:b/>
          <w:sz w:val="20"/>
          <w:lang w:val="en-GB"/>
        </w:rPr>
      </w:pPr>
      <w:r w:rsidRPr="00EA6258">
        <w:rPr>
          <w:b/>
          <w:sz w:val="22"/>
          <w:szCs w:val="24"/>
          <w:lang w:val="en-GB"/>
        </w:rPr>
        <w:t>Predictive model for the analysis of industrial losses in a sugar process</w:t>
      </w:r>
    </w:p>
    <w:p w14:paraId="1806F0BE" w14:textId="77777777" w:rsidR="00295A0B" w:rsidRPr="00B01233" w:rsidRDefault="00295A0B" w:rsidP="00EA3662">
      <w:pPr>
        <w:rPr>
          <w:sz w:val="22"/>
          <w:lang w:val="en-GB" w:eastAsia="es-ES"/>
        </w:rPr>
      </w:pPr>
    </w:p>
    <w:p w14:paraId="5D4E6CD5" w14:textId="77777777" w:rsidR="009C46AE" w:rsidRPr="00EA3662" w:rsidRDefault="009C46AE" w:rsidP="00EA3662">
      <w:pPr>
        <w:rPr>
          <w:rFonts w:eastAsia="Arial Unicode MS" w:cs="Arial"/>
          <w:b/>
          <w:bCs/>
          <w:sz w:val="22"/>
          <w:szCs w:val="24"/>
        </w:rPr>
      </w:pPr>
      <w:proofErr w:type="spellStart"/>
      <w:r w:rsidRPr="00EA3662">
        <w:rPr>
          <w:rFonts w:eastAsia="Arial Unicode MS" w:cs="Arial"/>
          <w:b/>
          <w:bCs/>
          <w:sz w:val="22"/>
          <w:szCs w:val="24"/>
        </w:rPr>
        <w:t>Yasmany</w:t>
      </w:r>
      <w:proofErr w:type="spellEnd"/>
      <w:r w:rsidRPr="00EA3662">
        <w:rPr>
          <w:rFonts w:eastAsia="Arial Unicode MS" w:cs="Arial"/>
          <w:b/>
          <w:bCs/>
          <w:sz w:val="22"/>
          <w:szCs w:val="24"/>
        </w:rPr>
        <w:t xml:space="preserve"> García López</w:t>
      </w:r>
      <w:r w:rsidRPr="00EA3662">
        <w:rPr>
          <w:rFonts w:eastAsia="Arial Unicode MS" w:cs="Arial"/>
          <w:b/>
          <w:bCs/>
          <w:sz w:val="22"/>
          <w:szCs w:val="24"/>
          <w:vertAlign w:val="superscript"/>
        </w:rPr>
        <w:t>1</w:t>
      </w:r>
      <w:r w:rsidRPr="00EA3662">
        <w:rPr>
          <w:rFonts w:eastAsia="Arial Unicode MS" w:cs="Arial"/>
          <w:b/>
          <w:bCs/>
          <w:sz w:val="22"/>
          <w:szCs w:val="24"/>
        </w:rPr>
        <w:t xml:space="preserve">; Lourdes </w:t>
      </w:r>
      <w:proofErr w:type="spellStart"/>
      <w:r w:rsidRPr="00EA3662">
        <w:rPr>
          <w:rFonts w:eastAsia="Arial Unicode MS" w:cs="Arial"/>
          <w:b/>
          <w:bCs/>
          <w:sz w:val="22"/>
          <w:szCs w:val="24"/>
        </w:rPr>
        <w:t>Yamen</w:t>
      </w:r>
      <w:proofErr w:type="spellEnd"/>
      <w:r w:rsidRPr="00EA3662">
        <w:rPr>
          <w:rFonts w:eastAsia="Arial Unicode MS" w:cs="Arial"/>
          <w:b/>
          <w:bCs/>
          <w:sz w:val="22"/>
          <w:szCs w:val="24"/>
        </w:rPr>
        <w:t xml:space="preserve"> González Sáez</w:t>
      </w:r>
      <w:r w:rsidRPr="00EA3662">
        <w:rPr>
          <w:rFonts w:eastAsia="Arial Unicode MS" w:cs="Arial"/>
          <w:b/>
          <w:bCs/>
          <w:sz w:val="22"/>
          <w:szCs w:val="24"/>
          <w:vertAlign w:val="superscript"/>
        </w:rPr>
        <w:t>2</w:t>
      </w:r>
      <w:r w:rsidRPr="00EA3662">
        <w:rPr>
          <w:rFonts w:eastAsia="Arial Unicode MS" w:cs="Arial"/>
          <w:b/>
          <w:bCs/>
          <w:sz w:val="22"/>
          <w:szCs w:val="24"/>
        </w:rPr>
        <w:t>; Juan Alfredo Cabrera Hernández</w:t>
      </w:r>
      <w:r w:rsidRPr="00EA3662">
        <w:rPr>
          <w:rFonts w:eastAsia="Arial Unicode MS" w:cs="Arial"/>
          <w:b/>
          <w:bCs/>
          <w:sz w:val="22"/>
          <w:szCs w:val="24"/>
          <w:vertAlign w:val="superscript"/>
        </w:rPr>
        <w:t>3</w:t>
      </w:r>
      <w:r w:rsidRPr="00EA3662">
        <w:rPr>
          <w:rFonts w:eastAsia="Arial Unicode MS" w:cs="Arial"/>
          <w:b/>
          <w:bCs/>
          <w:sz w:val="22"/>
          <w:szCs w:val="24"/>
        </w:rPr>
        <w:t xml:space="preserve">; </w:t>
      </w:r>
      <w:r w:rsidR="002E298C" w:rsidRPr="00EA3662">
        <w:rPr>
          <w:rFonts w:cs="Arial"/>
          <w:b/>
          <w:bCs/>
          <w:sz w:val="22"/>
        </w:rPr>
        <w:t>Janin Águila Pérez</w:t>
      </w:r>
      <w:r w:rsidR="002E298C" w:rsidRPr="00EA3662">
        <w:rPr>
          <w:rFonts w:cs="Arial"/>
          <w:b/>
          <w:bCs/>
          <w:sz w:val="22"/>
          <w:vertAlign w:val="superscript"/>
        </w:rPr>
        <w:t>1</w:t>
      </w:r>
      <w:r w:rsidR="002E298C" w:rsidRPr="00EA3662">
        <w:rPr>
          <w:rFonts w:cs="Arial"/>
          <w:b/>
          <w:bCs/>
          <w:sz w:val="22"/>
          <w:lang w:eastAsia="es-ES"/>
        </w:rPr>
        <w:t xml:space="preserve">; </w:t>
      </w:r>
      <w:proofErr w:type="spellStart"/>
      <w:r w:rsidRPr="00EA3662">
        <w:rPr>
          <w:rFonts w:cs="Arial"/>
          <w:b/>
          <w:bCs/>
          <w:sz w:val="22"/>
          <w:lang w:eastAsia="es-ES"/>
        </w:rPr>
        <w:t>Catheryn</w:t>
      </w:r>
      <w:proofErr w:type="spellEnd"/>
      <w:r w:rsidRPr="00EA3662">
        <w:rPr>
          <w:rFonts w:cs="Arial"/>
          <w:b/>
          <w:bCs/>
          <w:sz w:val="22"/>
          <w:lang w:eastAsia="es-ES"/>
        </w:rPr>
        <w:t xml:space="preserve"> Blanco Caballero</w:t>
      </w:r>
      <w:r w:rsidR="002E298C" w:rsidRPr="00EA3662">
        <w:rPr>
          <w:rFonts w:cs="Arial"/>
          <w:b/>
          <w:bCs/>
          <w:sz w:val="22"/>
          <w:vertAlign w:val="superscript"/>
          <w:lang w:eastAsia="es-ES"/>
        </w:rPr>
        <w:t>1</w:t>
      </w:r>
      <w:r w:rsidRPr="00EA3662">
        <w:rPr>
          <w:rFonts w:cs="Arial"/>
          <w:b/>
          <w:bCs/>
          <w:sz w:val="22"/>
          <w:lang w:eastAsia="es-ES"/>
        </w:rPr>
        <w:t xml:space="preserve"> </w:t>
      </w:r>
    </w:p>
    <w:p w14:paraId="24B20FFB" w14:textId="77777777" w:rsidR="00CD29BC" w:rsidRPr="00EA3662" w:rsidRDefault="00CD29BC" w:rsidP="00EA3662">
      <w:pPr>
        <w:rPr>
          <w:b/>
          <w:bCs/>
          <w:sz w:val="22"/>
          <w:lang w:eastAsia="es-ES"/>
        </w:rPr>
      </w:pPr>
    </w:p>
    <w:p w14:paraId="5E1BD989" w14:textId="77777777" w:rsidR="00295A0B" w:rsidRPr="00EA3662" w:rsidRDefault="002E298C" w:rsidP="00EA3662">
      <w:pPr>
        <w:rPr>
          <w:b/>
          <w:bCs/>
          <w:sz w:val="22"/>
          <w:lang w:eastAsia="es-ES"/>
        </w:rPr>
      </w:pPr>
      <w:r w:rsidRPr="00EA3662">
        <w:rPr>
          <w:b/>
          <w:bCs/>
          <w:sz w:val="22"/>
          <w:vertAlign w:val="superscript"/>
          <w:lang w:eastAsia="es-ES"/>
        </w:rPr>
        <w:t>1</w:t>
      </w:r>
      <w:r w:rsidR="00CD29BC" w:rsidRPr="00EA3662">
        <w:rPr>
          <w:b/>
          <w:bCs/>
          <w:sz w:val="22"/>
          <w:lang w:eastAsia="es-ES"/>
        </w:rPr>
        <w:t>Instituto de Investigaciones de la Caña de Azúcar</w:t>
      </w:r>
      <w:r w:rsidRPr="00EA3662">
        <w:rPr>
          <w:b/>
          <w:bCs/>
          <w:sz w:val="22"/>
          <w:lang w:eastAsia="es-ES"/>
        </w:rPr>
        <w:t>, Cuba</w:t>
      </w:r>
      <w:r w:rsidR="00CD29BC" w:rsidRPr="00EA3662">
        <w:rPr>
          <w:b/>
          <w:bCs/>
          <w:sz w:val="22"/>
          <w:lang w:eastAsia="es-ES"/>
        </w:rPr>
        <w:t xml:space="preserve">  </w:t>
      </w:r>
    </w:p>
    <w:p w14:paraId="6D75564D" w14:textId="77777777" w:rsidR="00295A0B" w:rsidRPr="00EA3662" w:rsidRDefault="002E298C" w:rsidP="00EA3662">
      <w:pPr>
        <w:rPr>
          <w:rFonts w:cs="Arial"/>
          <w:b/>
          <w:bCs/>
          <w:iCs/>
          <w:color w:val="000000" w:themeColor="text1"/>
          <w:sz w:val="22"/>
        </w:rPr>
      </w:pPr>
      <w:r w:rsidRPr="00EA3662">
        <w:rPr>
          <w:rFonts w:cs="Arial"/>
          <w:b/>
          <w:bCs/>
          <w:iCs/>
          <w:color w:val="000000" w:themeColor="text1"/>
          <w:sz w:val="22"/>
          <w:vertAlign w:val="superscript"/>
        </w:rPr>
        <w:t>2</w:t>
      </w:r>
      <w:r w:rsidRPr="00EA3662">
        <w:rPr>
          <w:rFonts w:cs="Arial"/>
          <w:b/>
          <w:bCs/>
          <w:iCs/>
          <w:color w:val="000000" w:themeColor="text1"/>
          <w:sz w:val="22"/>
        </w:rPr>
        <w:t>Departamento de Química e Ingeniería Química, Universidad de Matanzas, Cuba.</w:t>
      </w:r>
    </w:p>
    <w:p w14:paraId="497CB9A3" w14:textId="77777777" w:rsidR="002E298C" w:rsidRPr="00EA3662" w:rsidRDefault="002E298C" w:rsidP="00EA3662">
      <w:pPr>
        <w:rPr>
          <w:b/>
          <w:bCs/>
          <w:sz w:val="22"/>
          <w:lang w:eastAsia="es-ES"/>
        </w:rPr>
      </w:pPr>
      <w:r w:rsidRPr="00EA3662">
        <w:rPr>
          <w:rFonts w:cs="Arial"/>
          <w:b/>
          <w:bCs/>
          <w:iCs/>
          <w:color w:val="000000" w:themeColor="text1"/>
          <w:sz w:val="22"/>
          <w:vertAlign w:val="superscript"/>
        </w:rPr>
        <w:t>3</w:t>
      </w:r>
      <w:r w:rsidRPr="00EA3662">
        <w:rPr>
          <w:rFonts w:cs="Arial"/>
          <w:b/>
          <w:bCs/>
          <w:iCs/>
          <w:color w:val="000000" w:themeColor="text1"/>
          <w:sz w:val="22"/>
        </w:rPr>
        <w:t>Observatorio Ambiental COSTATENAS, Universidad de Matanzas, Cuba</w:t>
      </w:r>
    </w:p>
    <w:p w14:paraId="50EA912F" w14:textId="28AAF998" w:rsidR="009C46AE" w:rsidRDefault="00BD0A33" w:rsidP="00EA3662">
      <w:pPr>
        <w:rPr>
          <w:rStyle w:val="Hipervnculo"/>
          <w:rFonts w:cs="Arial"/>
          <w:b/>
          <w:bCs/>
          <w:sz w:val="22"/>
          <w:lang w:eastAsia="es-ES"/>
        </w:rPr>
      </w:pPr>
      <w:r>
        <w:rPr>
          <w:rFonts w:cs="Arial"/>
          <w:b/>
          <w:bCs/>
          <w:sz w:val="22"/>
          <w:lang w:eastAsia="es-ES"/>
        </w:rPr>
        <w:t>e-</w:t>
      </w:r>
      <w:r w:rsidR="00EA3662">
        <w:rPr>
          <w:rFonts w:cs="Arial"/>
          <w:b/>
          <w:bCs/>
          <w:sz w:val="22"/>
          <w:lang w:eastAsia="es-ES"/>
        </w:rPr>
        <w:t>mail</w:t>
      </w:r>
      <w:r w:rsidR="00AE5D04" w:rsidRPr="00EA3662">
        <w:rPr>
          <w:rFonts w:cs="Arial"/>
          <w:b/>
          <w:bCs/>
          <w:sz w:val="22"/>
          <w:lang w:eastAsia="es-ES"/>
        </w:rPr>
        <w:t xml:space="preserve">: </w:t>
      </w:r>
      <w:hyperlink r:id="rId7" w:history="1">
        <w:r w:rsidR="00AE5D04" w:rsidRPr="00EA3662">
          <w:rPr>
            <w:rStyle w:val="Hipervnculo"/>
            <w:rFonts w:cs="Arial"/>
            <w:b/>
            <w:bCs/>
            <w:sz w:val="22"/>
            <w:lang w:eastAsia="es-ES"/>
          </w:rPr>
          <w:t>yasmanygarcia31@gmail.com</w:t>
        </w:r>
      </w:hyperlink>
    </w:p>
    <w:p w14:paraId="67666300" w14:textId="77777777" w:rsidR="00EA3662" w:rsidRDefault="00EA3662" w:rsidP="00EA3662">
      <w:pPr>
        <w:rPr>
          <w:b/>
          <w:sz w:val="22"/>
          <w:lang w:eastAsia="es-ES"/>
        </w:rPr>
      </w:pPr>
    </w:p>
    <w:p w14:paraId="51D0924A" w14:textId="77777777" w:rsidR="00361810" w:rsidRDefault="00361810" w:rsidP="00EA3662">
      <w:pPr>
        <w:rPr>
          <w:b/>
          <w:sz w:val="22"/>
          <w:lang w:eastAsia="es-ES"/>
        </w:rPr>
      </w:pPr>
      <w:r>
        <w:rPr>
          <w:b/>
          <w:sz w:val="22"/>
          <w:lang w:eastAsia="es-ES"/>
        </w:rPr>
        <w:t>Resumen</w:t>
      </w:r>
    </w:p>
    <w:p w14:paraId="4988EF08" w14:textId="480DBA12" w:rsidR="00192746" w:rsidRDefault="000E5C8A" w:rsidP="00EA3662">
      <w:r w:rsidRPr="000E5C8A">
        <w:rPr>
          <w:rFonts w:cs="Arial"/>
          <w:sz w:val="22"/>
          <w:szCs w:val="20"/>
        </w:rPr>
        <w:t xml:space="preserve">El </w:t>
      </w:r>
      <w:r w:rsidR="00192746">
        <w:rPr>
          <w:rFonts w:cs="Arial"/>
          <w:sz w:val="22"/>
          <w:szCs w:val="20"/>
        </w:rPr>
        <w:t xml:space="preserve">uso de </w:t>
      </w:r>
      <w:r w:rsidR="00301B80">
        <w:rPr>
          <w:rFonts w:cs="Arial"/>
          <w:sz w:val="22"/>
          <w:szCs w:val="20"/>
        </w:rPr>
        <w:t>un modelo predictivo</w:t>
      </w:r>
      <w:r w:rsidR="00192746">
        <w:rPr>
          <w:rFonts w:cs="Arial"/>
          <w:sz w:val="22"/>
          <w:szCs w:val="20"/>
        </w:rPr>
        <w:t xml:space="preserve"> </w:t>
      </w:r>
      <w:r w:rsidRPr="000E5C8A">
        <w:rPr>
          <w:rFonts w:cs="Arial"/>
          <w:sz w:val="22"/>
          <w:szCs w:val="20"/>
        </w:rPr>
        <w:t xml:space="preserve">puede aportar conocimientos importantes sobre cómo se procesan y se obtienen los bienes del </w:t>
      </w:r>
      <w:r w:rsidR="00CB14E1">
        <w:rPr>
          <w:rFonts w:cs="Arial"/>
          <w:sz w:val="22"/>
          <w:szCs w:val="20"/>
        </w:rPr>
        <w:t>proceso</w:t>
      </w:r>
      <w:r w:rsidRPr="000E5C8A">
        <w:rPr>
          <w:rFonts w:cs="Arial"/>
          <w:sz w:val="22"/>
          <w:szCs w:val="20"/>
        </w:rPr>
        <w:t xml:space="preserve"> azucarero</w:t>
      </w:r>
      <w:r w:rsidR="00CB14E1" w:rsidRPr="00CB14E1">
        <w:rPr>
          <w:rFonts w:cs="Arial"/>
          <w:sz w:val="22"/>
          <w:szCs w:val="20"/>
        </w:rPr>
        <w:t xml:space="preserve"> </w:t>
      </w:r>
      <w:r w:rsidR="00CB14E1" w:rsidRPr="000E5C8A">
        <w:rPr>
          <w:rFonts w:cs="Arial"/>
          <w:sz w:val="22"/>
          <w:szCs w:val="20"/>
        </w:rPr>
        <w:t>agroindustrial</w:t>
      </w:r>
      <w:r w:rsidRPr="000E5C8A">
        <w:rPr>
          <w:rFonts w:cs="Arial"/>
          <w:sz w:val="22"/>
          <w:szCs w:val="20"/>
        </w:rPr>
        <w:t xml:space="preserve">. Para </w:t>
      </w:r>
      <w:r w:rsidR="00192746">
        <w:rPr>
          <w:rFonts w:cs="Arial"/>
          <w:sz w:val="22"/>
          <w:szCs w:val="20"/>
        </w:rPr>
        <w:t>este trabajo, se recopilaron 340</w:t>
      </w:r>
      <w:r w:rsidRPr="000E5C8A">
        <w:rPr>
          <w:rFonts w:cs="Arial"/>
          <w:sz w:val="22"/>
          <w:szCs w:val="20"/>
        </w:rPr>
        <w:t xml:space="preserve"> datos del procesamiento industrial de la caña de azúcar</w:t>
      </w:r>
      <w:r w:rsidR="00301B80">
        <w:rPr>
          <w:rFonts w:cs="Arial"/>
          <w:sz w:val="22"/>
          <w:szCs w:val="20"/>
        </w:rPr>
        <w:t>,</w:t>
      </w:r>
      <w:r w:rsidRPr="000E5C8A">
        <w:rPr>
          <w:rFonts w:cs="Arial"/>
          <w:sz w:val="22"/>
          <w:szCs w:val="20"/>
        </w:rPr>
        <w:t xml:space="preserve"> </w:t>
      </w:r>
      <w:r w:rsidR="00883F6A">
        <w:rPr>
          <w:rFonts w:cs="Arial"/>
          <w:sz w:val="22"/>
          <w:szCs w:val="20"/>
        </w:rPr>
        <w:t xml:space="preserve">en </w:t>
      </w:r>
      <w:r w:rsidR="00301B80">
        <w:rPr>
          <w:rFonts w:cs="Arial"/>
          <w:sz w:val="22"/>
          <w:szCs w:val="20"/>
        </w:rPr>
        <w:t>tres zafras</w:t>
      </w:r>
      <w:r w:rsidR="00883F6A">
        <w:rPr>
          <w:rFonts w:cs="Arial"/>
          <w:sz w:val="22"/>
          <w:szCs w:val="20"/>
        </w:rPr>
        <w:t xml:space="preserve"> de</w:t>
      </w:r>
      <w:r w:rsidRPr="000E5C8A">
        <w:rPr>
          <w:rFonts w:cs="Arial"/>
          <w:sz w:val="22"/>
          <w:szCs w:val="20"/>
        </w:rPr>
        <w:t xml:space="preserve"> la agroindustria </w:t>
      </w:r>
      <w:r w:rsidR="00F226F5">
        <w:rPr>
          <w:rFonts w:cs="Arial"/>
          <w:sz w:val="22"/>
          <w:szCs w:val="20"/>
        </w:rPr>
        <w:t>ubicada a</w:t>
      </w:r>
      <w:r w:rsidR="00883F6A">
        <w:rPr>
          <w:rFonts w:cs="Arial"/>
          <w:sz w:val="22"/>
          <w:szCs w:val="20"/>
        </w:rPr>
        <w:t xml:space="preserve"> </w:t>
      </w:r>
      <w:r w:rsidR="00CE42F9">
        <w:rPr>
          <w:rFonts w:cs="Arial"/>
          <w:sz w:val="22"/>
          <w:szCs w:val="20"/>
        </w:rPr>
        <w:t>22° 31' 55</w:t>
      </w:r>
      <w:r w:rsidR="00CE42F9" w:rsidRPr="00CE42F9">
        <w:rPr>
          <w:rFonts w:cs="Arial"/>
          <w:sz w:val="22"/>
          <w:szCs w:val="20"/>
        </w:rPr>
        <w:t>"</w:t>
      </w:r>
      <w:r w:rsidR="007444B8">
        <w:rPr>
          <w:rFonts w:cs="Arial"/>
          <w:sz w:val="22"/>
          <w:szCs w:val="20"/>
        </w:rPr>
        <w:t xml:space="preserve"> N y </w:t>
      </w:r>
      <w:r w:rsidR="00CE42F9">
        <w:rPr>
          <w:rFonts w:cs="Arial"/>
          <w:sz w:val="22"/>
          <w:szCs w:val="20"/>
        </w:rPr>
        <w:t>80° 52' 8</w:t>
      </w:r>
      <w:r w:rsidR="00CE42F9" w:rsidRPr="00CE42F9">
        <w:rPr>
          <w:rFonts w:cs="Arial"/>
          <w:sz w:val="22"/>
          <w:szCs w:val="20"/>
        </w:rPr>
        <w:t>"</w:t>
      </w:r>
      <w:r w:rsidR="00CE42F9">
        <w:rPr>
          <w:rFonts w:cs="Arial"/>
          <w:sz w:val="22"/>
          <w:szCs w:val="20"/>
        </w:rPr>
        <w:t xml:space="preserve"> </w:t>
      </w:r>
      <w:r w:rsidR="00F226F5">
        <w:rPr>
          <w:rFonts w:cs="Arial"/>
          <w:sz w:val="22"/>
          <w:szCs w:val="20"/>
        </w:rPr>
        <w:t xml:space="preserve">O en </w:t>
      </w:r>
      <w:r w:rsidR="00883F6A">
        <w:rPr>
          <w:rFonts w:cs="Arial"/>
          <w:sz w:val="22"/>
          <w:szCs w:val="20"/>
        </w:rPr>
        <w:t xml:space="preserve">el </w:t>
      </w:r>
      <w:r w:rsidRPr="000E5C8A">
        <w:rPr>
          <w:rFonts w:cs="Arial"/>
          <w:sz w:val="22"/>
          <w:szCs w:val="20"/>
        </w:rPr>
        <w:t xml:space="preserve">municipio </w:t>
      </w:r>
      <w:proofErr w:type="spellStart"/>
      <w:r w:rsidRPr="000E5C8A">
        <w:rPr>
          <w:rFonts w:cs="Arial"/>
          <w:sz w:val="22"/>
          <w:szCs w:val="20"/>
        </w:rPr>
        <w:t>Calimete</w:t>
      </w:r>
      <w:proofErr w:type="spellEnd"/>
      <w:r w:rsidRPr="000E5C8A">
        <w:rPr>
          <w:rFonts w:cs="Arial"/>
          <w:sz w:val="22"/>
          <w:szCs w:val="20"/>
        </w:rPr>
        <w:t xml:space="preserve">, Provincia Matanzas (Cuba), </w:t>
      </w:r>
      <w:r w:rsidRPr="007444B8">
        <w:rPr>
          <w:rFonts w:cs="Arial"/>
          <w:sz w:val="22"/>
          <w:szCs w:val="20"/>
        </w:rPr>
        <w:t xml:space="preserve">con el objetivo de </w:t>
      </w:r>
      <w:r w:rsidR="00BA256F" w:rsidRPr="007444B8">
        <w:rPr>
          <w:bCs/>
          <w:sz w:val="22"/>
        </w:rPr>
        <w:t>ajustar</w:t>
      </w:r>
      <w:r w:rsidR="00BA256F">
        <w:rPr>
          <w:bCs/>
          <w:sz w:val="22"/>
        </w:rPr>
        <w:t xml:space="preserve"> </w:t>
      </w:r>
      <w:r w:rsidR="00BA256F" w:rsidRPr="00B01233">
        <w:rPr>
          <w:bCs/>
          <w:sz w:val="22"/>
        </w:rPr>
        <w:t xml:space="preserve">un modelo de </w:t>
      </w:r>
      <w:r w:rsidR="003B74A2">
        <w:rPr>
          <w:bCs/>
          <w:sz w:val="22"/>
        </w:rPr>
        <w:t>regresión</w:t>
      </w:r>
      <w:r w:rsidRPr="000E5C8A">
        <w:rPr>
          <w:rFonts w:cs="Arial"/>
          <w:sz w:val="22"/>
          <w:szCs w:val="20"/>
        </w:rPr>
        <w:t xml:space="preserve">. </w:t>
      </w:r>
      <w:r w:rsidR="00192746">
        <w:rPr>
          <w:rFonts w:cs="Arial"/>
          <w:sz w:val="22"/>
          <w:szCs w:val="20"/>
        </w:rPr>
        <w:t>La analítica predictiva se basó en el cálculo de</w:t>
      </w:r>
      <w:r w:rsidR="00192746" w:rsidRPr="00B01233">
        <w:rPr>
          <w:sz w:val="22"/>
          <w:lang w:eastAsia="es-ES"/>
        </w:rPr>
        <w:t>l distanciamiento</w:t>
      </w:r>
      <w:r w:rsidR="00192746">
        <w:rPr>
          <w:sz w:val="22"/>
          <w:lang w:eastAsia="es-ES"/>
        </w:rPr>
        <w:t xml:space="preserve"> entre el potencial azucarero de la caña de azúcar que es molida y la producción real obtenida. </w:t>
      </w:r>
      <w:r w:rsidR="00883F6A">
        <w:rPr>
          <w:sz w:val="22"/>
          <w:lang w:eastAsia="es-ES"/>
        </w:rPr>
        <w:t>A partir de estas</w:t>
      </w:r>
      <w:r w:rsidR="00192746" w:rsidRPr="00B01233">
        <w:rPr>
          <w:sz w:val="22"/>
          <w:lang w:eastAsia="es-ES"/>
        </w:rPr>
        <w:t xml:space="preserve"> diferencia</w:t>
      </w:r>
      <w:r w:rsidR="00883F6A">
        <w:rPr>
          <w:sz w:val="22"/>
          <w:lang w:eastAsia="es-ES"/>
        </w:rPr>
        <w:t>s</w:t>
      </w:r>
      <w:r w:rsidR="00192746" w:rsidRPr="00B01233">
        <w:rPr>
          <w:sz w:val="22"/>
          <w:lang w:eastAsia="es-ES"/>
        </w:rPr>
        <w:t xml:space="preserve"> entre potencial y real</w:t>
      </w:r>
      <w:r w:rsidR="00883F6A">
        <w:rPr>
          <w:sz w:val="22"/>
          <w:lang w:eastAsia="es-ES"/>
        </w:rPr>
        <w:t>,</w:t>
      </w:r>
      <w:r w:rsidR="00301B80">
        <w:rPr>
          <w:sz w:val="22"/>
          <w:lang w:eastAsia="es-ES"/>
        </w:rPr>
        <w:t xml:space="preserve"> se determinó un</w:t>
      </w:r>
      <w:r w:rsidR="00192746" w:rsidRPr="00B01233">
        <w:rPr>
          <w:sz w:val="22"/>
          <w:lang w:eastAsia="es-ES"/>
        </w:rPr>
        <w:t xml:space="preserve"> índice a escala diaria (</w:t>
      </w:r>
      <w:proofErr w:type="spellStart"/>
      <w:r w:rsidR="00192746" w:rsidRPr="00B01233">
        <w:rPr>
          <w:sz w:val="22"/>
          <w:lang w:eastAsia="es-ES"/>
        </w:rPr>
        <w:t>I</w:t>
      </w:r>
      <w:r w:rsidR="00192746" w:rsidRPr="00B01233">
        <w:rPr>
          <w:sz w:val="22"/>
          <w:vertAlign w:val="subscript"/>
          <w:lang w:eastAsia="es-ES"/>
        </w:rPr>
        <w:t>p</w:t>
      </w:r>
      <w:proofErr w:type="spellEnd"/>
      <w:r w:rsidR="00192746" w:rsidRPr="00B01233">
        <w:rPr>
          <w:sz w:val="22"/>
          <w:vertAlign w:val="subscript"/>
          <w:lang w:eastAsia="es-ES"/>
        </w:rPr>
        <w:t>-DPRE</w:t>
      </w:r>
      <w:r w:rsidR="00192746">
        <w:rPr>
          <w:sz w:val="22"/>
          <w:lang w:eastAsia="es-ES"/>
        </w:rPr>
        <w:t>)</w:t>
      </w:r>
      <w:r w:rsidR="00192746" w:rsidRPr="00B01233">
        <w:rPr>
          <w:sz w:val="22"/>
          <w:lang w:eastAsia="es-ES"/>
        </w:rPr>
        <w:t>. Este índice fue utilizado como variable respuesta para el ajuste de</w:t>
      </w:r>
      <w:r w:rsidR="00EE7563">
        <w:rPr>
          <w:sz w:val="22"/>
          <w:lang w:eastAsia="es-ES"/>
        </w:rPr>
        <w:t xml:space="preserve"> un modelo predictivo</w:t>
      </w:r>
      <w:r w:rsidR="00030BEB">
        <w:rPr>
          <w:sz w:val="22"/>
          <w:lang w:eastAsia="es-ES"/>
        </w:rPr>
        <w:t>, donde se alcanzó un R</w:t>
      </w:r>
      <w:r w:rsidR="00030BEB">
        <w:rPr>
          <w:sz w:val="22"/>
          <w:vertAlign w:val="superscript"/>
          <w:lang w:eastAsia="es-ES"/>
        </w:rPr>
        <w:t>2</w:t>
      </w:r>
      <w:r w:rsidR="00030BEB">
        <w:rPr>
          <w:sz w:val="22"/>
          <w:lang w:eastAsia="es-ES"/>
        </w:rPr>
        <w:t xml:space="preserve"> de 0,82 y se cumplieron los test de diagnósticos y validación</w:t>
      </w:r>
      <w:r w:rsidR="00192746">
        <w:rPr>
          <w:sz w:val="22"/>
          <w:lang w:eastAsia="es-ES"/>
        </w:rPr>
        <w:t xml:space="preserve">. De esta forma </w:t>
      </w:r>
      <w:r w:rsidR="00192746" w:rsidRPr="007A2E75">
        <w:rPr>
          <w:rFonts w:cs="Arial"/>
          <w:sz w:val="22"/>
          <w:lang w:val="es-US"/>
        </w:rPr>
        <w:t xml:space="preserve">se </w:t>
      </w:r>
      <w:r w:rsidR="00030BEB">
        <w:rPr>
          <w:rFonts w:cs="Arial"/>
          <w:sz w:val="22"/>
          <w:lang w:val="es-US"/>
        </w:rPr>
        <w:t xml:space="preserve">arribó a un modelo de polinomio, capaz de realizar </w:t>
      </w:r>
      <w:r w:rsidR="000B3DC8">
        <w:rPr>
          <w:rFonts w:cs="Arial"/>
          <w:sz w:val="22"/>
          <w:lang w:val="es-US"/>
        </w:rPr>
        <w:t>la predicción de</w:t>
      </w:r>
      <w:r w:rsidR="00192746" w:rsidRPr="007A2E75">
        <w:rPr>
          <w:rFonts w:cs="Arial"/>
          <w:sz w:val="22"/>
          <w:lang w:val="es-US"/>
        </w:rPr>
        <w:t xml:space="preserve"> perjuicio</w:t>
      </w:r>
      <w:r w:rsidR="000B3DC8">
        <w:rPr>
          <w:rFonts w:cs="Arial"/>
          <w:sz w:val="22"/>
          <w:lang w:val="es-US"/>
        </w:rPr>
        <w:t>,</w:t>
      </w:r>
      <w:r w:rsidR="00192746" w:rsidRPr="007A2E75">
        <w:rPr>
          <w:rFonts w:cs="Arial"/>
          <w:sz w:val="22"/>
          <w:lang w:val="es-US"/>
        </w:rPr>
        <w:t xml:space="preserve"> </w:t>
      </w:r>
      <w:r w:rsidR="000B3DC8">
        <w:rPr>
          <w:rFonts w:cs="Arial"/>
          <w:sz w:val="22"/>
        </w:rPr>
        <w:t>que</w:t>
      </w:r>
      <w:r w:rsidR="00030BEB">
        <w:rPr>
          <w:rFonts w:cs="Arial"/>
          <w:sz w:val="22"/>
        </w:rPr>
        <w:t xml:space="preserve"> </w:t>
      </w:r>
      <w:r w:rsidR="000B3DC8">
        <w:rPr>
          <w:rFonts w:cs="Arial"/>
          <w:sz w:val="22"/>
        </w:rPr>
        <w:t>en el caso evaluado estuvo entre 0 y</w:t>
      </w:r>
      <w:r w:rsidR="00192746" w:rsidRPr="007A2E75">
        <w:rPr>
          <w:rFonts w:cs="Arial"/>
          <w:sz w:val="22"/>
        </w:rPr>
        <w:t xml:space="preserve"> 30 USD</w:t>
      </w:r>
      <w:r w:rsidR="00883F6A">
        <w:rPr>
          <w:rFonts w:cs="Arial"/>
          <w:sz w:val="22"/>
        </w:rPr>
        <w:t> </w:t>
      </w:r>
      <w:r w:rsidR="00192746" w:rsidRPr="007A2E75">
        <w:rPr>
          <w:rFonts w:cs="Arial"/>
          <w:sz w:val="22"/>
        </w:rPr>
        <w:t>t</w:t>
      </w:r>
      <w:r w:rsidR="00192746" w:rsidRPr="007A2E75">
        <w:rPr>
          <w:rFonts w:cs="Arial"/>
          <w:sz w:val="22"/>
          <w:vertAlign w:val="superscript"/>
        </w:rPr>
        <w:t>-1</w:t>
      </w:r>
      <w:r w:rsidR="00883F6A">
        <w:rPr>
          <w:rFonts w:cs="Arial"/>
          <w:sz w:val="22"/>
        </w:rPr>
        <w:t xml:space="preserve"> de caña molida. Este</w:t>
      </w:r>
      <w:r w:rsidR="00030BEB">
        <w:rPr>
          <w:rFonts w:cs="Arial"/>
          <w:sz w:val="22"/>
        </w:rPr>
        <w:t xml:space="preserve"> resultado evidencia la importancia de accionar sobre </w:t>
      </w:r>
      <w:r w:rsidR="00301B80">
        <w:rPr>
          <w:rFonts w:cs="Arial"/>
          <w:sz w:val="22"/>
        </w:rPr>
        <w:t xml:space="preserve">las </w:t>
      </w:r>
      <w:r w:rsidR="00030BEB">
        <w:rPr>
          <w:rFonts w:cs="Arial"/>
          <w:sz w:val="22"/>
        </w:rPr>
        <w:t xml:space="preserve">causas de </w:t>
      </w:r>
      <w:r w:rsidR="00883F6A">
        <w:rPr>
          <w:rFonts w:cs="Arial"/>
          <w:sz w:val="22"/>
        </w:rPr>
        <w:t>pérdidas</w:t>
      </w:r>
      <w:r w:rsidR="00146EB9">
        <w:rPr>
          <w:rFonts w:cs="Arial"/>
          <w:sz w:val="22"/>
        </w:rPr>
        <w:t xml:space="preserve"> industriales, además de</w:t>
      </w:r>
      <w:r w:rsidR="00030BEB">
        <w:rPr>
          <w:rFonts w:cs="Arial"/>
          <w:sz w:val="22"/>
        </w:rPr>
        <w:t xml:space="preserve"> emplear elementos de inteligencia artificial </w:t>
      </w:r>
      <w:r w:rsidR="00146EB9">
        <w:rPr>
          <w:rFonts w:cs="Arial"/>
          <w:sz w:val="22"/>
        </w:rPr>
        <w:t>para</w:t>
      </w:r>
      <w:r w:rsidR="00030BEB">
        <w:rPr>
          <w:rFonts w:cs="Arial"/>
          <w:sz w:val="22"/>
        </w:rPr>
        <w:t xml:space="preserve"> adquirir conocimiento para la sostenibilidad de la agroindustria azucarera.  </w:t>
      </w:r>
    </w:p>
    <w:p w14:paraId="2546F10E" w14:textId="1FCBF6F5" w:rsidR="00361810" w:rsidRPr="005F5733" w:rsidRDefault="00361810" w:rsidP="00EA3662">
      <w:pPr>
        <w:rPr>
          <w:sz w:val="22"/>
          <w:lang w:eastAsia="es-ES"/>
        </w:rPr>
      </w:pPr>
      <w:r>
        <w:rPr>
          <w:b/>
          <w:sz w:val="22"/>
          <w:lang w:eastAsia="es-ES"/>
        </w:rPr>
        <w:t>Palabras clave:</w:t>
      </w:r>
      <w:r w:rsidR="00883F6A">
        <w:rPr>
          <w:b/>
          <w:sz w:val="22"/>
          <w:lang w:eastAsia="es-ES"/>
        </w:rPr>
        <w:t xml:space="preserve"> </w:t>
      </w:r>
      <w:r w:rsidR="00883F6A" w:rsidRPr="005F5733">
        <w:rPr>
          <w:sz w:val="22"/>
          <w:lang w:eastAsia="es-ES"/>
        </w:rPr>
        <w:t xml:space="preserve">Analítica predictiva, </w:t>
      </w:r>
      <w:r w:rsidR="00320737">
        <w:rPr>
          <w:sz w:val="22"/>
          <w:lang w:eastAsia="es-ES"/>
        </w:rPr>
        <w:t>e</w:t>
      </w:r>
      <w:r w:rsidR="00883F6A" w:rsidRPr="005F5733">
        <w:rPr>
          <w:sz w:val="22"/>
          <w:lang w:eastAsia="es-ES"/>
        </w:rPr>
        <w:t xml:space="preserve">ficiencia azucarera industrial, </w:t>
      </w:r>
      <w:r w:rsidR="00320737">
        <w:rPr>
          <w:sz w:val="22"/>
          <w:lang w:eastAsia="es-ES"/>
        </w:rPr>
        <w:t>e</w:t>
      </w:r>
      <w:r w:rsidR="005F5733" w:rsidRPr="005F5733">
        <w:rPr>
          <w:sz w:val="22"/>
          <w:lang w:eastAsia="es-ES"/>
        </w:rPr>
        <w:t xml:space="preserve">conometría </w:t>
      </w:r>
    </w:p>
    <w:p w14:paraId="2D9A7630" w14:textId="77777777" w:rsidR="00361810" w:rsidRDefault="00361810" w:rsidP="00EA3662">
      <w:pPr>
        <w:rPr>
          <w:b/>
          <w:sz w:val="22"/>
          <w:lang w:eastAsia="es-ES"/>
        </w:rPr>
      </w:pPr>
    </w:p>
    <w:p w14:paraId="19B4C996" w14:textId="77777777" w:rsidR="00361810" w:rsidRDefault="00361810" w:rsidP="00EA3662">
      <w:pPr>
        <w:rPr>
          <w:b/>
          <w:sz w:val="22"/>
          <w:lang w:val="en-US" w:eastAsia="es-ES"/>
        </w:rPr>
      </w:pPr>
      <w:r w:rsidRPr="0075741C">
        <w:rPr>
          <w:b/>
          <w:sz w:val="22"/>
          <w:lang w:val="en-US" w:eastAsia="es-ES"/>
        </w:rPr>
        <w:t>Abstract</w:t>
      </w:r>
    </w:p>
    <w:p w14:paraId="7D8B0FBA" w14:textId="70C87C21" w:rsidR="000E3A68" w:rsidRPr="000E3A68" w:rsidRDefault="000E3A68" w:rsidP="00EA3662">
      <w:pPr>
        <w:rPr>
          <w:sz w:val="22"/>
          <w:lang w:val="en-GB" w:eastAsia="es-ES"/>
        </w:rPr>
      </w:pPr>
      <w:r w:rsidRPr="000E3A68">
        <w:rPr>
          <w:sz w:val="22"/>
          <w:lang w:val="en-GB" w:eastAsia="es-ES"/>
        </w:rPr>
        <w:t>The use of a predictive model can provide important knowledge about how goods are processed and obtained from the agro-industrial sugar process. For this work, 340 data were collected from the industrial processing of sugar cane, in three harvests of the agroindustry located at 22° 31' 55" N and 80° 52' 8" W</w:t>
      </w:r>
      <w:r>
        <w:rPr>
          <w:sz w:val="22"/>
          <w:lang w:val="en-GB" w:eastAsia="es-ES"/>
        </w:rPr>
        <w:t>,</w:t>
      </w:r>
      <w:r w:rsidRPr="000E3A68">
        <w:rPr>
          <w:sz w:val="22"/>
          <w:lang w:val="en-GB" w:eastAsia="es-ES"/>
        </w:rPr>
        <w:t xml:space="preserve"> in the </w:t>
      </w:r>
      <w:proofErr w:type="spellStart"/>
      <w:r w:rsidRPr="000E3A68">
        <w:rPr>
          <w:sz w:val="22"/>
          <w:lang w:val="en-GB" w:eastAsia="es-ES"/>
        </w:rPr>
        <w:t>Calimete</w:t>
      </w:r>
      <w:proofErr w:type="spellEnd"/>
      <w:r w:rsidRPr="000E3A68">
        <w:rPr>
          <w:sz w:val="22"/>
          <w:lang w:val="en-GB" w:eastAsia="es-ES"/>
        </w:rPr>
        <w:t xml:space="preserve"> municip</w:t>
      </w:r>
      <w:r>
        <w:rPr>
          <w:sz w:val="22"/>
          <w:lang w:val="en-GB" w:eastAsia="es-ES"/>
        </w:rPr>
        <w:t>ality, Matanzas Province (Cuba)</w:t>
      </w:r>
      <w:r w:rsidRPr="000E3A68">
        <w:rPr>
          <w:sz w:val="22"/>
          <w:lang w:val="en-GB" w:eastAsia="es-ES"/>
        </w:rPr>
        <w:t xml:space="preserve">, </w:t>
      </w:r>
      <w:r>
        <w:rPr>
          <w:sz w:val="22"/>
          <w:lang w:val="en-GB" w:eastAsia="es-ES"/>
        </w:rPr>
        <w:t>to adjust</w:t>
      </w:r>
      <w:r w:rsidRPr="000E3A68">
        <w:rPr>
          <w:sz w:val="22"/>
          <w:lang w:val="en-GB" w:eastAsia="es-ES"/>
        </w:rPr>
        <w:t xml:space="preserve"> a regression model. Predictive analytics was based on the calculation of </w:t>
      </w:r>
      <w:r w:rsidRPr="000E3A68">
        <w:rPr>
          <w:sz w:val="22"/>
          <w:lang w:val="en-GB" w:eastAsia="es-ES"/>
        </w:rPr>
        <w:lastRenderedPageBreak/>
        <w:t>the distance between t</w:t>
      </w:r>
      <w:r w:rsidR="003B74A2">
        <w:rPr>
          <w:sz w:val="22"/>
          <w:lang w:val="en-GB" w:eastAsia="es-ES"/>
        </w:rPr>
        <w:t>he sugar potential of the sugar</w:t>
      </w:r>
      <w:r w:rsidRPr="000E3A68">
        <w:rPr>
          <w:sz w:val="22"/>
          <w:lang w:val="en-GB" w:eastAsia="es-ES"/>
        </w:rPr>
        <w:t xml:space="preserve">cane that is </w:t>
      </w:r>
      <w:r w:rsidR="003940E0" w:rsidRPr="000E3A68">
        <w:rPr>
          <w:sz w:val="22"/>
          <w:lang w:val="en-GB" w:eastAsia="es-ES"/>
        </w:rPr>
        <w:t>milled</w:t>
      </w:r>
      <w:r w:rsidRPr="000E3A68">
        <w:rPr>
          <w:sz w:val="22"/>
          <w:lang w:val="en-GB" w:eastAsia="es-ES"/>
        </w:rPr>
        <w:t xml:space="preserve"> and the actual production obtained. From these differences between potential and actual, a daily scale index (I</w:t>
      </w:r>
      <w:r w:rsidRPr="000E3A68">
        <w:rPr>
          <w:sz w:val="22"/>
          <w:vertAlign w:val="subscript"/>
          <w:lang w:val="en-GB" w:eastAsia="es-ES"/>
        </w:rPr>
        <w:t>p-DPRE</w:t>
      </w:r>
      <w:r w:rsidRPr="000E3A68">
        <w:rPr>
          <w:sz w:val="22"/>
          <w:lang w:val="en-GB" w:eastAsia="es-ES"/>
        </w:rPr>
        <w:t>) was determined. This index was used as a response variable for the ad</w:t>
      </w:r>
      <w:r w:rsidR="00EE7563">
        <w:rPr>
          <w:sz w:val="22"/>
          <w:lang w:val="en-GB" w:eastAsia="es-ES"/>
        </w:rPr>
        <w:t>justment of a predictive model, where a</w:t>
      </w:r>
      <w:r w:rsidRPr="000E3A68">
        <w:rPr>
          <w:sz w:val="22"/>
          <w:lang w:val="en-GB" w:eastAsia="es-ES"/>
        </w:rPr>
        <w:t xml:space="preserve"> R</w:t>
      </w:r>
      <w:r w:rsidRPr="000E3A68">
        <w:rPr>
          <w:sz w:val="22"/>
          <w:vertAlign w:val="superscript"/>
          <w:lang w:val="en-GB" w:eastAsia="es-ES"/>
        </w:rPr>
        <w:t>2</w:t>
      </w:r>
      <w:r w:rsidRPr="000E3A68">
        <w:rPr>
          <w:sz w:val="22"/>
          <w:lang w:val="en-GB" w:eastAsia="es-ES"/>
        </w:rPr>
        <w:t xml:space="preserve"> of 0.82 was reached and the diagnostic and validation tests were met. In this way, a</w:t>
      </w:r>
      <w:r>
        <w:rPr>
          <w:sz w:val="22"/>
          <w:lang w:val="en-GB" w:eastAsia="es-ES"/>
        </w:rPr>
        <w:t xml:space="preserve"> polynomial model was arrived</w:t>
      </w:r>
      <w:r w:rsidRPr="000E3A68">
        <w:rPr>
          <w:sz w:val="22"/>
          <w:lang w:val="en-GB" w:eastAsia="es-ES"/>
        </w:rPr>
        <w:t xml:space="preserve">, </w:t>
      </w:r>
      <w:r w:rsidR="003940E0" w:rsidRPr="000E3A68">
        <w:rPr>
          <w:sz w:val="22"/>
          <w:lang w:val="en-GB" w:eastAsia="es-ES"/>
        </w:rPr>
        <w:t>skilled</w:t>
      </w:r>
      <w:r w:rsidRPr="000E3A68">
        <w:rPr>
          <w:sz w:val="22"/>
          <w:lang w:val="en-GB" w:eastAsia="es-ES"/>
        </w:rPr>
        <w:t xml:space="preserve"> of predicting </w:t>
      </w:r>
      <w:r w:rsidR="000B3DC8" w:rsidRPr="000E3A68">
        <w:rPr>
          <w:sz w:val="22"/>
          <w:lang w:val="en-GB" w:eastAsia="es-ES"/>
        </w:rPr>
        <w:t>damage</w:t>
      </w:r>
      <w:r w:rsidR="000B3DC8">
        <w:rPr>
          <w:sz w:val="22"/>
          <w:lang w:val="en-GB" w:eastAsia="es-ES"/>
        </w:rPr>
        <w:t>, which evaluated case it was between 0 to</w:t>
      </w:r>
      <w:r w:rsidRPr="000E3A68">
        <w:rPr>
          <w:sz w:val="22"/>
          <w:lang w:val="en-GB" w:eastAsia="es-ES"/>
        </w:rPr>
        <w:t xml:space="preserve"> 30 USD</w:t>
      </w:r>
      <w:r w:rsidR="008657B5">
        <w:rPr>
          <w:sz w:val="22"/>
          <w:lang w:val="en-GB" w:eastAsia="es-ES"/>
        </w:rPr>
        <w:t> </w:t>
      </w:r>
      <w:r w:rsidRPr="000E3A68">
        <w:rPr>
          <w:sz w:val="22"/>
          <w:lang w:val="en-GB" w:eastAsia="es-ES"/>
        </w:rPr>
        <w:t>t</w:t>
      </w:r>
      <w:r w:rsidRPr="000E3A68">
        <w:rPr>
          <w:sz w:val="22"/>
          <w:vertAlign w:val="superscript"/>
          <w:lang w:val="en-GB" w:eastAsia="es-ES"/>
        </w:rPr>
        <w:t>-1</w:t>
      </w:r>
      <w:r w:rsidRPr="000E3A68">
        <w:rPr>
          <w:sz w:val="22"/>
          <w:lang w:val="en-GB" w:eastAsia="es-ES"/>
        </w:rPr>
        <w:t xml:space="preserve"> of </w:t>
      </w:r>
      <w:r w:rsidR="000B3DC8" w:rsidRPr="000E3A68">
        <w:rPr>
          <w:sz w:val="22"/>
          <w:lang w:val="en-GB" w:eastAsia="es-ES"/>
        </w:rPr>
        <w:t>milled</w:t>
      </w:r>
      <w:r w:rsidRPr="000E3A68">
        <w:rPr>
          <w:sz w:val="22"/>
          <w:lang w:val="en-GB" w:eastAsia="es-ES"/>
        </w:rPr>
        <w:t xml:space="preserve"> cane. This result shows the importance of acting on the causes of industrial losses, in addition to using elements of artificial intelligence to obtain</w:t>
      </w:r>
      <w:r w:rsidR="00EE7563">
        <w:rPr>
          <w:sz w:val="22"/>
          <w:lang w:val="en-GB" w:eastAsia="es-ES"/>
        </w:rPr>
        <w:t xml:space="preserve"> knowledge to</w:t>
      </w:r>
      <w:r w:rsidRPr="000E3A68">
        <w:rPr>
          <w:sz w:val="22"/>
          <w:lang w:val="en-GB" w:eastAsia="es-ES"/>
        </w:rPr>
        <w:t xml:space="preserve"> the sustainability of the sugar agroindustry.</w:t>
      </w:r>
    </w:p>
    <w:p w14:paraId="4DB928DE" w14:textId="36306BFA" w:rsidR="00361810" w:rsidRPr="0075741C" w:rsidRDefault="00743E62" w:rsidP="00EA3662">
      <w:pPr>
        <w:rPr>
          <w:sz w:val="22"/>
          <w:lang w:val="en-GB" w:eastAsia="es-ES"/>
        </w:rPr>
      </w:pPr>
      <w:r>
        <w:rPr>
          <w:b/>
          <w:sz w:val="22"/>
          <w:lang w:val="en-GB" w:eastAsia="es-ES"/>
        </w:rPr>
        <w:t>Key</w:t>
      </w:r>
      <w:r w:rsidR="00361810" w:rsidRPr="0075741C">
        <w:rPr>
          <w:b/>
          <w:sz w:val="22"/>
          <w:lang w:val="en-US" w:eastAsia="es-ES"/>
        </w:rPr>
        <w:t>words</w:t>
      </w:r>
      <w:r w:rsidR="00361810" w:rsidRPr="0075741C">
        <w:rPr>
          <w:b/>
          <w:sz w:val="22"/>
          <w:lang w:val="en-GB" w:eastAsia="es-ES"/>
        </w:rPr>
        <w:t>:</w:t>
      </w:r>
      <w:r w:rsidR="0075741C" w:rsidRPr="0075741C">
        <w:rPr>
          <w:b/>
          <w:sz w:val="22"/>
          <w:lang w:val="en-GB" w:eastAsia="es-ES"/>
        </w:rPr>
        <w:t xml:space="preserve"> </w:t>
      </w:r>
      <w:r w:rsidR="0075741C" w:rsidRPr="0075741C">
        <w:rPr>
          <w:sz w:val="22"/>
          <w:lang w:val="en-US" w:eastAsia="es-ES"/>
        </w:rPr>
        <w:t>Predictive analytic</w:t>
      </w:r>
      <w:r w:rsidR="008E0E82">
        <w:rPr>
          <w:sz w:val="22"/>
          <w:lang w:val="en-US" w:eastAsia="es-ES"/>
        </w:rPr>
        <w:t>s</w:t>
      </w:r>
      <w:r w:rsidR="0075741C" w:rsidRPr="0075741C">
        <w:rPr>
          <w:sz w:val="22"/>
          <w:lang w:val="en-US" w:eastAsia="es-ES"/>
        </w:rPr>
        <w:t xml:space="preserve">; </w:t>
      </w:r>
      <w:r w:rsidR="00320737">
        <w:rPr>
          <w:sz w:val="22"/>
          <w:lang w:val="en-US" w:eastAsia="es-ES"/>
        </w:rPr>
        <w:t>i</w:t>
      </w:r>
      <w:r w:rsidR="0075741C" w:rsidRPr="0075741C">
        <w:rPr>
          <w:sz w:val="22"/>
          <w:lang w:val="en-US" w:eastAsia="es-ES"/>
        </w:rPr>
        <w:t xml:space="preserve">ndustrial sugar efficiency, </w:t>
      </w:r>
      <w:r w:rsidR="00320737">
        <w:rPr>
          <w:sz w:val="22"/>
          <w:lang w:val="en-US" w:eastAsia="es-ES"/>
        </w:rPr>
        <w:t>e</w:t>
      </w:r>
      <w:r w:rsidR="0075741C" w:rsidRPr="0075741C">
        <w:rPr>
          <w:sz w:val="22"/>
          <w:lang w:val="en-US" w:eastAsia="es-ES"/>
        </w:rPr>
        <w:t xml:space="preserve">conometric </w:t>
      </w:r>
      <w:r w:rsidR="0075741C" w:rsidRPr="0075741C">
        <w:rPr>
          <w:sz w:val="22"/>
          <w:lang w:val="en-GB" w:eastAsia="es-ES"/>
        </w:rPr>
        <w:t xml:space="preserve"> </w:t>
      </w:r>
    </w:p>
    <w:p w14:paraId="4433675C" w14:textId="77777777" w:rsidR="00106E35" w:rsidRPr="00AE5D04" w:rsidRDefault="00106E35" w:rsidP="00EA3662">
      <w:pPr>
        <w:rPr>
          <w:b/>
          <w:sz w:val="22"/>
          <w:lang w:val="en-US" w:eastAsia="es-ES"/>
        </w:rPr>
      </w:pPr>
    </w:p>
    <w:p w14:paraId="677E7593" w14:textId="77777777" w:rsidR="00CD29BC" w:rsidRPr="00B01233" w:rsidRDefault="00CD29BC" w:rsidP="00EA3662">
      <w:pPr>
        <w:rPr>
          <w:b/>
          <w:sz w:val="22"/>
          <w:lang w:eastAsia="es-ES"/>
        </w:rPr>
      </w:pPr>
      <w:r w:rsidRPr="00B01233">
        <w:rPr>
          <w:b/>
          <w:sz w:val="22"/>
          <w:lang w:eastAsia="es-ES"/>
        </w:rPr>
        <w:t xml:space="preserve">Introducción </w:t>
      </w:r>
    </w:p>
    <w:p w14:paraId="7971824F" w14:textId="53E760B2" w:rsidR="004F7F7F" w:rsidRPr="00B01233" w:rsidRDefault="004F7F7F" w:rsidP="00EA3662">
      <w:pPr>
        <w:rPr>
          <w:sz w:val="22"/>
        </w:rPr>
      </w:pPr>
      <w:r w:rsidRPr="00B01233">
        <w:rPr>
          <w:sz w:val="22"/>
          <w:lang w:eastAsia="es-ES"/>
        </w:rPr>
        <w:t xml:space="preserve">En los </w:t>
      </w:r>
      <w:r w:rsidRPr="00B01233">
        <w:rPr>
          <w:sz w:val="22"/>
        </w:rPr>
        <w:t xml:space="preserve">modelos estadísticos se establece la necesidad de crear </w:t>
      </w:r>
      <w:r w:rsidR="00E74C0F">
        <w:rPr>
          <w:sz w:val="22"/>
        </w:rPr>
        <w:t xml:space="preserve">bases </w:t>
      </w:r>
      <w:r w:rsidRPr="00B01233">
        <w:rPr>
          <w:sz w:val="22"/>
        </w:rPr>
        <w:t xml:space="preserve">de datos </w:t>
      </w:r>
      <w:r w:rsidR="00662A8E" w:rsidRPr="00662A8E">
        <w:rPr>
          <w:sz w:val="22"/>
          <w:lang w:eastAsia="es-ES"/>
        </w:rPr>
        <w:t>colectada</w:t>
      </w:r>
      <w:r w:rsidRPr="00662A8E">
        <w:rPr>
          <w:sz w:val="22"/>
          <w:lang w:eastAsia="es-ES"/>
        </w:rPr>
        <w:t>s</w:t>
      </w:r>
      <w:r w:rsidRPr="00B01233">
        <w:rPr>
          <w:sz w:val="22"/>
          <w:lang w:eastAsia="es-ES"/>
        </w:rPr>
        <w:t xml:space="preserve"> por métodos directos o indirectos (</w:t>
      </w:r>
      <w:proofErr w:type="spellStart"/>
      <w:r w:rsidRPr="00B01233">
        <w:rPr>
          <w:sz w:val="22"/>
          <w:lang w:eastAsia="es-ES"/>
        </w:rPr>
        <w:t>Bogunovic</w:t>
      </w:r>
      <w:proofErr w:type="spellEnd"/>
      <w:r w:rsidRPr="00B01233">
        <w:rPr>
          <w:sz w:val="22"/>
          <w:lang w:eastAsia="es-ES"/>
        </w:rPr>
        <w:t xml:space="preserve"> </w:t>
      </w:r>
      <w:r w:rsidRPr="00B01233">
        <w:rPr>
          <w:i/>
          <w:sz w:val="22"/>
          <w:lang w:eastAsia="es-ES"/>
        </w:rPr>
        <w:t>et al</w:t>
      </w:r>
      <w:r w:rsidRPr="00B01233">
        <w:rPr>
          <w:sz w:val="22"/>
          <w:lang w:eastAsia="es-ES"/>
        </w:rPr>
        <w:t>., 2017)</w:t>
      </w:r>
      <w:r w:rsidRPr="00B01233">
        <w:rPr>
          <w:sz w:val="22"/>
        </w:rPr>
        <w:t>, que permitan estudiar a los procesos y servicios ecosistémicos a diversas escalas, así como estimar los flujos de materia o energía (</w:t>
      </w:r>
      <w:proofErr w:type="spellStart"/>
      <w:r w:rsidRPr="00B01233">
        <w:rPr>
          <w:sz w:val="22"/>
        </w:rPr>
        <w:t>Willcock</w:t>
      </w:r>
      <w:proofErr w:type="spellEnd"/>
      <w:r w:rsidRPr="00B01233">
        <w:rPr>
          <w:sz w:val="22"/>
        </w:rPr>
        <w:t xml:space="preserve"> </w:t>
      </w:r>
      <w:r w:rsidRPr="00B01233">
        <w:rPr>
          <w:i/>
          <w:sz w:val="22"/>
        </w:rPr>
        <w:t>et al</w:t>
      </w:r>
      <w:r w:rsidRPr="00B01233">
        <w:rPr>
          <w:sz w:val="22"/>
        </w:rPr>
        <w:t xml:space="preserve">., 2018). En un contexto agroindustrial azucarero, se pueden encontrar ejemplos de usos de modelos, como análisis de regresión lineal para evaluar relaciones con el rendimiento del cultivo (Rahman </w:t>
      </w:r>
      <w:r w:rsidRPr="00B01233">
        <w:rPr>
          <w:rFonts w:cs="MinionPro-It"/>
          <w:bCs/>
          <w:iCs/>
          <w:sz w:val="22"/>
        </w:rPr>
        <w:t>y</w:t>
      </w:r>
      <w:r w:rsidRPr="00B01233">
        <w:rPr>
          <w:sz w:val="22"/>
        </w:rPr>
        <w:t xml:space="preserve"> Robson, 2016), modelo de polinomio para evaluar la reducción de rendimiento en azúcar (</w:t>
      </w:r>
      <w:proofErr w:type="spellStart"/>
      <w:r w:rsidRPr="00B01233">
        <w:rPr>
          <w:sz w:val="22"/>
        </w:rPr>
        <w:t>Nashiruddin</w:t>
      </w:r>
      <w:proofErr w:type="spellEnd"/>
      <w:r w:rsidRPr="00B01233">
        <w:rPr>
          <w:sz w:val="22"/>
        </w:rPr>
        <w:t xml:space="preserve"> </w:t>
      </w:r>
      <w:r w:rsidRPr="00B01233">
        <w:rPr>
          <w:i/>
          <w:sz w:val="22"/>
        </w:rPr>
        <w:t>et al</w:t>
      </w:r>
      <w:r w:rsidRPr="00B01233">
        <w:rPr>
          <w:sz w:val="22"/>
        </w:rPr>
        <w:t>., 2020); así como combinaciones de redes neuronales y algoritmos genéticos para predecir características del jugo de la caña de azúcar (</w:t>
      </w:r>
      <w:proofErr w:type="spellStart"/>
      <w:r w:rsidRPr="00B01233">
        <w:rPr>
          <w:sz w:val="22"/>
        </w:rPr>
        <w:t>Tarafdar</w:t>
      </w:r>
      <w:proofErr w:type="spellEnd"/>
      <w:r w:rsidRPr="00B01233">
        <w:rPr>
          <w:sz w:val="22"/>
        </w:rPr>
        <w:t xml:space="preserve"> </w:t>
      </w:r>
      <w:r w:rsidRPr="00B01233">
        <w:rPr>
          <w:i/>
          <w:sz w:val="22"/>
        </w:rPr>
        <w:t>et al</w:t>
      </w:r>
      <w:r w:rsidRPr="00B01233">
        <w:rPr>
          <w:sz w:val="22"/>
        </w:rPr>
        <w:t xml:space="preserve">., 2020). También, modelos de </w:t>
      </w:r>
      <w:proofErr w:type="spellStart"/>
      <w:r w:rsidRPr="00B01233">
        <w:rPr>
          <w:i/>
          <w:sz w:val="22"/>
        </w:rPr>
        <w:t>random</w:t>
      </w:r>
      <w:proofErr w:type="spellEnd"/>
      <w:r w:rsidRPr="00B01233">
        <w:rPr>
          <w:i/>
          <w:sz w:val="22"/>
        </w:rPr>
        <w:t xml:space="preserve"> </w:t>
      </w:r>
      <w:proofErr w:type="spellStart"/>
      <w:r w:rsidRPr="00B01233">
        <w:rPr>
          <w:i/>
          <w:sz w:val="22"/>
        </w:rPr>
        <w:t>forest</w:t>
      </w:r>
      <w:proofErr w:type="spellEnd"/>
      <w:r w:rsidRPr="00B01233">
        <w:rPr>
          <w:sz w:val="22"/>
        </w:rPr>
        <w:t xml:space="preserve">, </w:t>
      </w:r>
      <w:proofErr w:type="spellStart"/>
      <w:r w:rsidRPr="00B01233">
        <w:rPr>
          <w:i/>
          <w:sz w:val="22"/>
        </w:rPr>
        <w:t>boosting</w:t>
      </w:r>
      <w:proofErr w:type="spellEnd"/>
      <w:r w:rsidRPr="00B01233">
        <w:rPr>
          <w:sz w:val="22"/>
        </w:rPr>
        <w:t xml:space="preserve"> y máquinas de soporte vectorial para predecir el rendimiento agrícola (</w:t>
      </w:r>
      <w:proofErr w:type="spellStart"/>
      <w:r w:rsidRPr="00B01233">
        <w:rPr>
          <w:sz w:val="22"/>
        </w:rPr>
        <w:t>Hammer</w:t>
      </w:r>
      <w:proofErr w:type="spellEnd"/>
      <w:r w:rsidRPr="00B01233">
        <w:rPr>
          <w:sz w:val="22"/>
        </w:rPr>
        <w:t xml:space="preserve"> </w:t>
      </w:r>
      <w:r w:rsidRPr="00B01233">
        <w:rPr>
          <w:i/>
          <w:sz w:val="22"/>
        </w:rPr>
        <w:t>et al</w:t>
      </w:r>
      <w:r w:rsidRPr="00B01233">
        <w:rPr>
          <w:sz w:val="22"/>
        </w:rPr>
        <w:t xml:space="preserve">., 2020; </w:t>
      </w:r>
      <w:proofErr w:type="spellStart"/>
      <w:r w:rsidRPr="00B01233">
        <w:rPr>
          <w:sz w:val="22"/>
        </w:rPr>
        <w:t>Natarajan</w:t>
      </w:r>
      <w:proofErr w:type="spellEnd"/>
      <w:r w:rsidRPr="00B01233">
        <w:rPr>
          <w:sz w:val="22"/>
        </w:rPr>
        <w:t xml:space="preserve"> </w:t>
      </w:r>
      <w:r w:rsidRPr="00B01233">
        <w:rPr>
          <w:i/>
          <w:sz w:val="22"/>
        </w:rPr>
        <w:t>et al</w:t>
      </w:r>
      <w:r w:rsidRPr="00B01233">
        <w:rPr>
          <w:sz w:val="22"/>
        </w:rPr>
        <w:t xml:space="preserve">., 2016) y métodos </w:t>
      </w:r>
      <w:proofErr w:type="spellStart"/>
      <w:r w:rsidRPr="00B01233">
        <w:rPr>
          <w:i/>
          <w:sz w:val="22"/>
        </w:rPr>
        <w:t>stepwise</w:t>
      </w:r>
      <w:proofErr w:type="spellEnd"/>
      <w:r w:rsidRPr="00B01233">
        <w:rPr>
          <w:i/>
          <w:sz w:val="22"/>
        </w:rPr>
        <w:t xml:space="preserve"> </w:t>
      </w:r>
      <w:proofErr w:type="spellStart"/>
      <w:r w:rsidRPr="00B01233">
        <w:rPr>
          <w:i/>
          <w:sz w:val="22"/>
        </w:rPr>
        <w:t>regression</w:t>
      </w:r>
      <w:proofErr w:type="spellEnd"/>
      <w:r w:rsidRPr="00B01233">
        <w:rPr>
          <w:sz w:val="22"/>
        </w:rPr>
        <w:t xml:space="preserve"> para la selección de variables significativas (Kumar </w:t>
      </w:r>
      <w:r w:rsidRPr="00B01233">
        <w:rPr>
          <w:i/>
          <w:sz w:val="22"/>
        </w:rPr>
        <w:t>et al</w:t>
      </w:r>
      <w:r w:rsidRPr="00B01233">
        <w:rPr>
          <w:sz w:val="22"/>
        </w:rPr>
        <w:t xml:space="preserve">., 2021). </w:t>
      </w:r>
      <w:r w:rsidR="00662A8E">
        <w:rPr>
          <w:sz w:val="22"/>
        </w:rPr>
        <w:t xml:space="preserve">En </w:t>
      </w:r>
      <w:r w:rsidRPr="007444B8">
        <w:rPr>
          <w:iCs/>
          <w:sz w:val="22"/>
        </w:rPr>
        <w:t>Chiang</w:t>
      </w:r>
      <w:r w:rsidRPr="007444B8">
        <w:rPr>
          <w:i/>
          <w:iCs/>
          <w:sz w:val="22"/>
        </w:rPr>
        <w:t xml:space="preserve"> et al.</w:t>
      </w:r>
      <w:r w:rsidRPr="007444B8">
        <w:rPr>
          <w:sz w:val="22"/>
        </w:rPr>
        <w:t xml:space="preserve"> (2018)</w:t>
      </w:r>
      <w:r w:rsidR="00E74C0F" w:rsidRPr="007444B8">
        <w:rPr>
          <w:sz w:val="22"/>
        </w:rPr>
        <w:t>,</w:t>
      </w:r>
      <w:r w:rsidR="00E74C0F">
        <w:rPr>
          <w:sz w:val="22"/>
        </w:rPr>
        <w:t xml:space="preserve"> </w:t>
      </w:r>
      <w:r w:rsidR="00662A8E">
        <w:rPr>
          <w:sz w:val="22"/>
        </w:rPr>
        <w:t xml:space="preserve">se </w:t>
      </w:r>
      <w:r w:rsidR="00E74C0F">
        <w:rPr>
          <w:sz w:val="22"/>
        </w:rPr>
        <w:t>obtiene</w:t>
      </w:r>
      <w:r w:rsidR="00662A8E">
        <w:rPr>
          <w:sz w:val="22"/>
        </w:rPr>
        <w:t>n</w:t>
      </w:r>
      <w:r w:rsidRPr="00B01233">
        <w:rPr>
          <w:sz w:val="22"/>
        </w:rPr>
        <w:t xml:space="preserve"> modelos que mostraron consistencia en comparación con los resultados de los balances de masa. Ribas </w:t>
      </w:r>
      <w:r w:rsidRPr="00B01233">
        <w:rPr>
          <w:i/>
          <w:sz w:val="22"/>
        </w:rPr>
        <w:t>et al</w:t>
      </w:r>
      <w:r w:rsidRPr="00B01233">
        <w:rPr>
          <w:sz w:val="22"/>
        </w:rPr>
        <w:t xml:space="preserve">. (2016), mediante un análisis de componentes principales, </w:t>
      </w:r>
      <w:r w:rsidRPr="00B01233">
        <w:rPr>
          <w:rFonts w:eastAsia="Times New Roman"/>
          <w:sz w:val="22"/>
          <w:lang w:eastAsia="es-ES"/>
        </w:rPr>
        <w:t>expone con pesos significativos, las pérdidas industriales, el aprovechamiento del RPC y los tiempos perdidos (agrícola e industrial)</w:t>
      </w:r>
      <w:r w:rsidR="00E74C0F">
        <w:rPr>
          <w:rFonts w:eastAsia="Times New Roman"/>
          <w:sz w:val="22"/>
          <w:lang w:eastAsia="es-ES"/>
        </w:rPr>
        <w:t>.</w:t>
      </w:r>
      <w:r w:rsidRPr="00B01233">
        <w:rPr>
          <w:rFonts w:eastAsia="Times New Roman"/>
          <w:sz w:val="22"/>
          <w:lang w:eastAsia="es-ES"/>
        </w:rPr>
        <w:t xml:space="preserve"> </w:t>
      </w:r>
      <w:r w:rsidR="00E74C0F">
        <w:rPr>
          <w:rFonts w:eastAsia="Times New Roman"/>
          <w:sz w:val="22"/>
          <w:lang w:eastAsia="es-ES"/>
        </w:rPr>
        <w:t>I</w:t>
      </w:r>
      <w:r w:rsidRPr="00B01233">
        <w:rPr>
          <w:rFonts w:eastAsia="Times New Roman"/>
          <w:sz w:val="22"/>
          <w:lang w:eastAsia="es-ES"/>
        </w:rPr>
        <w:t xml:space="preserve">gualmente </w:t>
      </w:r>
      <w:r w:rsidRPr="00B01233">
        <w:rPr>
          <w:bCs/>
          <w:iCs/>
          <w:sz w:val="22"/>
        </w:rPr>
        <w:t>Cabrera y Rodríguez</w:t>
      </w:r>
      <w:r w:rsidR="009F7276">
        <w:rPr>
          <w:bCs/>
          <w:iCs/>
          <w:sz w:val="22"/>
        </w:rPr>
        <w:t xml:space="preserve"> </w:t>
      </w:r>
      <w:r w:rsidRPr="00B01233">
        <w:rPr>
          <w:bCs/>
          <w:iCs/>
          <w:sz w:val="22"/>
        </w:rPr>
        <w:t>(2015)</w:t>
      </w:r>
      <w:r w:rsidRPr="00B01233">
        <w:rPr>
          <w:sz w:val="22"/>
        </w:rPr>
        <w:t xml:space="preserve"> proponen modelos predictivos y destacan la importancia de las variables materia extraña y frescura de la caña, así como su relación con el Pol en jugo mezclado. En </w:t>
      </w:r>
      <w:proofErr w:type="spellStart"/>
      <w:r w:rsidRPr="00B01233">
        <w:rPr>
          <w:sz w:val="22"/>
        </w:rPr>
        <w:t>Shahzad</w:t>
      </w:r>
      <w:proofErr w:type="spellEnd"/>
      <w:r w:rsidRPr="00B01233">
        <w:rPr>
          <w:sz w:val="22"/>
        </w:rPr>
        <w:t xml:space="preserve"> </w:t>
      </w:r>
      <w:r w:rsidRPr="00B01233">
        <w:rPr>
          <w:i/>
          <w:sz w:val="22"/>
        </w:rPr>
        <w:t>et al</w:t>
      </w:r>
      <w:r w:rsidRPr="00B01233">
        <w:rPr>
          <w:sz w:val="22"/>
        </w:rPr>
        <w:t>. (2017) se correlaciona el recuperado azucarero con diferentes indicadores y rasgos morfológicos de la caña de azúcar.</w:t>
      </w:r>
      <w:r w:rsidR="00F03E9A">
        <w:rPr>
          <w:sz w:val="22"/>
        </w:rPr>
        <w:t xml:space="preserve"> Asimismo, García </w:t>
      </w:r>
      <w:r w:rsidR="00F03E9A" w:rsidRPr="00F03E9A">
        <w:rPr>
          <w:i/>
          <w:sz w:val="22"/>
        </w:rPr>
        <w:t>et al</w:t>
      </w:r>
      <w:r w:rsidR="00F03E9A">
        <w:rPr>
          <w:sz w:val="22"/>
        </w:rPr>
        <w:t>. (2022), realiz</w:t>
      </w:r>
      <w:r w:rsidR="009F7276">
        <w:rPr>
          <w:sz w:val="22"/>
        </w:rPr>
        <w:t>aron</w:t>
      </w:r>
      <w:r w:rsidR="00F03E9A">
        <w:rPr>
          <w:sz w:val="22"/>
        </w:rPr>
        <w:t xml:space="preserve"> una selección de predictores importante y ajuste de un modelo de regresión lineal para la predicción de un indicador de provisión azucarera. </w:t>
      </w:r>
      <w:r w:rsidRPr="00B01233">
        <w:rPr>
          <w:sz w:val="22"/>
        </w:rPr>
        <w:t xml:space="preserve">Estos trabajos destacan el análisis de indicadores del </w:t>
      </w:r>
      <w:r w:rsidRPr="00B01233">
        <w:rPr>
          <w:sz w:val="22"/>
        </w:rPr>
        <w:lastRenderedPageBreak/>
        <w:t xml:space="preserve">proceso industrial y el uso de la estadística, para, a partir de hechos, emitir criterios que contribuyan con el incremento de los beneficios del sistema. </w:t>
      </w:r>
    </w:p>
    <w:p w14:paraId="12A0FED9" w14:textId="77777777" w:rsidR="004F7F7F" w:rsidRPr="00B01233" w:rsidRDefault="004F7F7F" w:rsidP="00EA3662">
      <w:pPr>
        <w:rPr>
          <w:sz w:val="22"/>
        </w:rPr>
      </w:pPr>
      <w:r w:rsidRPr="00B01233">
        <w:rPr>
          <w:sz w:val="22"/>
        </w:rPr>
        <w:t xml:space="preserve">Los análisis predictivos persiguen obtener modelos que permitan predecir una variable objetivo para nuevas observaciones, en función de un conjunto de variables de entrada (Andrade y Flores, 2018). Lo cierto es que cada modelo tiene diferentes niveles de flexibilidad y restricciones, así como facilidad y dificultad para su interpretación (James </w:t>
      </w:r>
      <w:r w:rsidRPr="00B01233">
        <w:rPr>
          <w:i/>
          <w:sz w:val="22"/>
        </w:rPr>
        <w:t>et al</w:t>
      </w:r>
      <w:r w:rsidRPr="00B01233">
        <w:rPr>
          <w:sz w:val="22"/>
        </w:rPr>
        <w:t xml:space="preserve">., 2021); las restricciones tienen que ver con el diagnóstico y cumplimiento del modelo con ciertos </w:t>
      </w:r>
      <w:r w:rsidR="00F03E9A">
        <w:rPr>
          <w:sz w:val="22"/>
        </w:rPr>
        <w:t>criterios</w:t>
      </w:r>
      <w:r w:rsidRPr="00B01233">
        <w:rPr>
          <w:sz w:val="22"/>
        </w:rPr>
        <w:t xml:space="preserve"> específicos. Dentro del diagnóstico del modelo para la regresión lineal se puede mencionar la significancia de los parámetros estimados, el análisis de normalidad de los residuos, homogeneidad de varianza, puntos influyentes y la </w:t>
      </w:r>
      <w:proofErr w:type="spellStart"/>
      <w:r w:rsidRPr="00B01233">
        <w:rPr>
          <w:sz w:val="22"/>
        </w:rPr>
        <w:t>multi</w:t>
      </w:r>
      <w:proofErr w:type="spellEnd"/>
      <w:r w:rsidRPr="00B01233">
        <w:rPr>
          <w:sz w:val="22"/>
        </w:rPr>
        <w:t>-</w:t>
      </w:r>
      <w:proofErr w:type="spellStart"/>
      <w:r w:rsidRPr="00B01233">
        <w:rPr>
          <w:sz w:val="22"/>
        </w:rPr>
        <w:t>co</w:t>
      </w:r>
      <w:proofErr w:type="spellEnd"/>
      <w:r w:rsidRPr="00B01233">
        <w:rPr>
          <w:sz w:val="22"/>
        </w:rPr>
        <w:t>-linealidad (</w:t>
      </w:r>
      <w:proofErr w:type="spellStart"/>
      <w:r w:rsidRPr="00B01233">
        <w:rPr>
          <w:sz w:val="22"/>
        </w:rPr>
        <w:t>Ramasubramanian</w:t>
      </w:r>
      <w:proofErr w:type="spellEnd"/>
      <w:r w:rsidRPr="00B01233">
        <w:rPr>
          <w:sz w:val="22"/>
        </w:rPr>
        <w:t xml:space="preserve"> </w:t>
      </w:r>
      <w:r w:rsidRPr="00B01233">
        <w:rPr>
          <w:rFonts w:cs="MinionPro-It"/>
          <w:bCs/>
          <w:iCs/>
          <w:sz w:val="22"/>
        </w:rPr>
        <w:t>y</w:t>
      </w:r>
      <w:r w:rsidRPr="00B01233">
        <w:rPr>
          <w:sz w:val="22"/>
        </w:rPr>
        <w:t xml:space="preserve"> Singh, 2019). </w:t>
      </w:r>
    </w:p>
    <w:p w14:paraId="455D7EE8" w14:textId="6538F12E" w:rsidR="004F7F7F" w:rsidRPr="00B01233" w:rsidRDefault="004F7F7F" w:rsidP="00EA3662">
      <w:pPr>
        <w:autoSpaceDE w:val="0"/>
        <w:autoSpaceDN w:val="0"/>
        <w:adjustRightInd w:val="0"/>
        <w:rPr>
          <w:sz w:val="22"/>
          <w:lang w:eastAsia="es-ES"/>
        </w:rPr>
      </w:pPr>
      <w:r w:rsidRPr="00B01233">
        <w:rPr>
          <w:sz w:val="22"/>
        </w:rPr>
        <w:t>Dada la incertidumbre generalizada sobre la capacidad de la agricultura para alimentar a una pobl</w:t>
      </w:r>
      <w:r w:rsidR="00F03E9A">
        <w:rPr>
          <w:sz w:val="22"/>
        </w:rPr>
        <w:t>a</w:t>
      </w:r>
      <w:r w:rsidR="0061728D">
        <w:rPr>
          <w:sz w:val="22"/>
        </w:rPr>
        <w:t xml:space="preserve">ción creciente, las </w:t>
      </w:r>
      <w:r w:rsidR="00F03E9A">
        <w:rPr>
          <w:sz w:val="22"/>
        </w:rPr>
        <w:t xml:space="preserve">predicciones </w:t>
      </w:r>
      <w:r w:rsidR="0061728D">
        <w:rPr>
          <w:sz w:val="22"/>
        </w:rPr>
        <w:t xml:space="preserve">adquieren un rol importante </w:t>
      </w:r>
      <w:r w:rsidRPr="00B01233">
        <w:rPr>
          <w:sz w:val="22"/>
        </w:rPr>
        <w:t xml:space="preserve">en </w:t>
      </w:r>
      <w:r w:rsidR="0061728D">
        <w:rPr>
          <w:sz w:val="22"/>
        </w:rPr>
        <w:t xml:space="preserve">los </w:t>
      </w:r>
      <w:r w:rsidRPr="00B01233">
        <w:rPr>
          <w:sz w:val="22"/>
        </w:rPr>
        <w:t xml:space="preserve">estudios de prospectiva sobre temas de seguridad alimentaria, así como de oferta y demanda (Delgadillo </w:t>
      </w:r>
      <w:r w:rsidRPr="00B01233">
        <w:rPr>
          <w:i/>
          <w:sz w:val="22"/>
        </w:rPr>
        <w:t>et al</w:t>
      </w:r>
      <w:r w:rsidRPr="00B01233">
        <w:rPr>
          <w:sz w:val="22"/>
        </w:rPr>
        <w:t xml:space="preserve">., 2016). </w:t>
      </w:r>
      <w:r w:rsidR="0061728D">
        <w:rPr>
          <w:sz w:val="22"/>
        </w:rPr>
        <w:t>También, l</w:t>
      </w:r>
      <w:r w:rsidRPr="00B01233">
        <w:rPr>
          <w:sz w:val="22"/>
        </w:rPr>
        <w:t xml:space="preserve">as predicciones son útiles para las valoraciones biofísicas y económicas que se requieren en un enfoque de servicios ecosistémicos. De acuerdo con </w:t>
      </w:r>
      <w:proofErr w:type="spellStart"/>
      <w:r w:rsidRPr="00B01233">
        <w:rPr>
          <w:bCs/>
          <w:sz w:val="22"/>
        </w:rPr>
        <w:t>Zeki</w:t>
      </w:r>
      <w:proofErr w:type="spellEnd"/>
      <w:r w:rsidRPr="00B01233">
        <w:rPr>
          <w:bCs/>
          <w:sz w:val="22"/>
        </w:rPr>
        <w:t xml:space="preserve"> (2020</w:t>
      </w:r>
      <w:r w:rsidRPr="00B01233">
        <w:rPr>
          <w:sz w:val="22"/>
        </w:rPr>
        <w:t>), se necesita de un grupo adecuado de indicadores para monitorear y valorar cambios en los servicios ecosistémicos</w:t>
      </w:r>
      <w:r w:rsidRPr="00B01233">
        <w:rPr>
          <w:bCs/>
          <w:sz w:val="22"/>
        </w:rPr>
        <w:t xml:space="preserve"> e identificar </w:t>
      </w:r>
      <w:r w:rsidRPr="00B01233">
        <w:rPr>
          <w:sz w:val="22"/>
        </w:rPr>
        <w:t>l</w:t>
      </w:r>
      <w:r w:rsidRPr="00B01233">
        <w:rPr>
          <w:sz w:val="22"/>
          <w:lang w:eastAsia="es-ES"/>
        </w:rPr>
        <w:t>os perjuicios y beneficios ocultos de</w:t>
      </w:r>
      <w:r w:rsidRPr="00B01233">
        <w:rPr>
          <w:color w:val="FF0000"/>
          <w:sz w:val="22"/>
          <w:lang w:eastAsia="es-ES"/>
        </w:rPr>
        <w:t xml:space="preserve"> </w:t>
      </w:r>
      <w:r w:rsidRPr="00B01233">
        <w:rPr>
          <w:sz w:val="22"/>
          <w:lang w:eastAsia="es-ES"/>
        </w:rPr>
        <w:t>la forma en que se produc</w:t>
      </w:r>
      <w:r w:rsidR="0061728D">
        <w:rPr>
          <w:sz w:val="22"/>
          <w:lang w:eastAsia="es-ES"/>
        </w:rPr>
        <w:t>en y procesan los alimentos, que</w:t>
      </w:r>
      <w:r w:rsidRPr="00B01233">
        <w:rPr>
          <w:sz w:val="22"/>
          <w:lang w:eastAsia="es-ES"/>
        </w:rPr>
        <w:t xml:space="preserve"> según </w:t>
      </w:r>
      <w:r w:rsidRPr="00B01233">
        <w:rPr>
          <w:sz w:val="22"/>
        </w:rPr>
        <w:t xml:space="preserve">Müller y </w:t>
      </w:r>
      <w:proofErr w:type="spellStart"/>
      <w:r w:rsidRPr="00B01233">
        <w:rPr>
          <w:sz w:val="22"/>
        </w:rPr>
        <w:t>Sukhdev</w:t>
      </w:r>
      <w:proofErr w:type="spellEnd"/>
      <w:r w:rsidRPr="00B01233">
        <w:rPr>
          <w:sz w:val="22"/>
        </w:rPr>
        <w:t xml:space="preserve"> (2018),</w:t>
      </w:r>
      <w:r w:rsidRPr="00B01233">
        <w:rPr>
          <w:sz w:val="22"/>
          <w:lang w:eastAsia="es-ES"/>
        </w:rPr>
        <w:t xml:space="preserve"> rara vez </w:t>
      </w:r>
      <w:r w:rsidR="0061728D">
        <w:rPr>
          <w:sz w:val="22"/>
          <w:lang w:eastAsia="es-ES"/>
        </w:rPr>
        <w:t xml:space="preserve">estos </w:t>
      </w:r>
      <w:r w:rsidRPr="00B01233">
        <w:rPr>
          <w:sz w:val="22"/>
          <w:lang w:eastAsia="es-ES"/>
        </w:rPr>
        <w:t>se reflejan en los análisis económicos convencionales.</w:t>
      </w:r>
    </w:p>
    <w:p w14:paraId="2EDA6D56" w14:textId="5836EB36" w:rsidR="00F7054D" w:rsidRPr="00B01233" w:rsidRDefault="00F7054D" w:rsidP="00EA3662">
      <w:pPr>
        <w:rPr>
          <w:bCs/>
          <w:iCs/>
          <w:sz w:val="22"/>
        </w:rPr>
      </w:pPr>
      <w:r w:rsidRPr="00B01233">
        <w:rPr>
          <w:sz w:val="22"/>
        </w:rPr>
        <w:t xml:space="preserve">La relación entre la caña que es molida y el azúcar que es producido es otra medida de eficiencia para este sistema </w:t>
      </w:r>
      <w:r w:rsidR="0061728D">
        <w:rPr>
          <w:sz w:val="22"/>
        </w:rPr>
        <w:t>agroindustrial</w:t>
      </w:r>
      <w:r w:rsidRPr="00B01233">
        <w:rPr>
          <w:sz w:val="22"/>
        </w:rPr>
        <w:t>. Esa relación, en términos de porcentaje, es expresada como rendimiento industrial (RI) (</w:t>
      </w:r>
      <w:r w:rsidRPr="00B01233">
        <w:rPr>
          <w:bCs/>
          <w:iCs/>
          <w:sz w:val="22"/>
        </w:rPr>
        <w:t xml:space="preserve">Cala </w:t>
      </w:r>
      <w:r w:rsidRPr="00B01233">
        <w:rPr>
          <w:bCs/>
          <w:i/>
          <w:iCs/>
          <w:sz w:val="22"/>
        </w:rPr>
        <w:t>et al</w:t>
      </w:r>
      <w:r w:rsidRPr="00B01233">
        <w:rPr>
          <w:bCs/>
          <w:iCs/>
          <w:sz w:val="22"/>
        </w:rPr>
        <w:t>., 2020) y requiere de diversas estrategias para su incremento</w:t>
      </w:r>
      <w:r w:rsidRPr="00B01233">
        <w:rPr>
          <w:sz w:val="22"/>
        </w:rPr>
        <w:t xml:space="preserve">, lo que ha constituido el objetivo de varias investigaciones, dentro de las cuales </w:t>
      </w:r>
      <w:r w:rsidRPr="00B01233">
        <w:rPr>
          <w:bCs/>
          <w:iCs/>
          <w:sz w:val="22"/>
        </w:rPr>
        <w:t>se pueden mencionar: la selección de variedades azucareras que produzcan la mayor cantidad de azúcar por unidad de área (Chiang</w:t>
      </w:r>
      <w:r w:rsidRPr="00B01233">
        <w:rPr>
          <w:bCs/>
          <w:i/>
          <w:iCs/>
          <w:sz w:val="22"/>
        </w:rPr>
        <w:t xml:space="preserve"> et al., </w:t>
      </w:r>
      <w:r w:rsidRPr="00B01233">
        <w:rPr>
          <w:bCs/>
          <w:iCs/>
          <w:sz w:val="22"/>
        </w:rPr>
        <w:t xml:space="preserve">2018) y el estudio e implementación de métodos que permitan cuantificar con mayor precisión la influencia de variables tecnológicas (Ribas </w:t>
      </w:r>
      <w:r w:rsidRPr="00B01233">
        <w:rPr>
          <w:bCs/>
          <w:i/>
          <w:iCs/>
          <w:sz w:val="22"/>
        </w:rPr>
        <w:t>et al.</w:t>
      </w:r>
      <w:r w:rsidRPr="00B01233">
        <w:rPr>
          <w:bCs/>
          <w:iCs/>
          <w:sz w:val="22"/>
        </w:rPr>
        <w:t xml:space="preserve">, 2016). Además, se ha estudiado la relación entre indicadores industriales como materia extraña con los porcentajes de fibra en caña, bagazo y pérdidas en bagazo (Navarro y </w:t>
      </w:r>
      <w:proofErr w:type="spellStart"/>
      <w:r w:rsidRPr="00B01233">
        <w:rPr>
          <w:bCs/>
          <w:iCs/>
          <w:sz w:val="22"/>
        </w:rPr>
        <w:t>Rostgaard</w:t>
      </w:r>
      <w:proofErr w:type="spellEnd"/>
      <w:r w:rsidRPr="00B01233">
        <w:rPr>
          <w:bCs/>
          <w:iCs/>
          <w:sz w:val="22"/>
        </w:rPr>
        <w:t xml:space="preserve">, 2014); la disminución de los tiempos de transportación entre los campos de cosecha de la caña de azúcar y su procesamiento en la industria (Rico </w:t>
      </w:r>
      <w:r w:rsidRPr="00B01233">
        <w:rPr>
          <w:bCs/>
          <w:i/>
          <w:iCs/>
          <w:sz w:val="22"/>
        </w:rPr>
        <w:t>et al</w:t>
      </w:r>
      <w:r w:rsidRPr="00B01233">
        <w:rPr>
          <w:bCs/>
          <w:iCs/>
          <w:sz w:val="22"/>
        </w:rPr>
        <w:t xml:space="preserve">., 2013), así como la evaluación causa-efecto entre la calidad de la materia prima con el rendimiento industrial y producto final (Martínez y De León, 2012). </w:t>
      </w:r>
    </w:p>
    <w:p w14:paraId="0CA15B08" w14:textId="7E167DEB" w:rsidR="00295A0B" w:rsidRPr="0012037D" w:rsidRDefault="00176F25" w:rsidP="00EA3662">
      <w:pPr>
        <w:rPr>
          <w:sz w:val="22"/>
        </w:rPr>
      </w:pPr>
      <w:r w:rsidRPr="00B01233">
        <w:rPr>
          <w:sz w:val="22"/>
        </w:rPr>
        <w:lastRenderedPageBreak/>
        <w:t>El proceso azucarero agroindustrial está incidido por múltiples variabilidades espacio-temporales que son resultado de las etapas agrícolas e industrial. Cada mes de una zafra está condicionado por lo obtenido en los diferentes campos de cultivo, como consecuencia de los manejos agrícolas, momento de cosecha y condiciones climáticas; así como, por la eficiencia del proceso de extracción de sacarosa, que ocasiona incrementos o decrecimientos en la provisión azucarera agroindustrial.</w:t>
      </w:r>
      <w:r w:rsidR="0012037D">
        <w:rPr>
          <w:sz w:val="22"/>
        </w:rPr>
        <w:t xml:space="preserve"> </w:t>
      </w:r>
      <w:r w:rsidR="00F7054D" w:rsidRPr="00B01233">
        <w:rPr>
          <w:bCs/>
          <w:iCs/>
          <w:sz w:val="22"/>
        </w:rPr>
        <w:t>L</w:t>
      </w:r>
      <w:r w:rsidR="00F7054D" w:rsidRPr="00B01233">
        <w:rPr>
          <w:sz w:val="22"/>
        </w:rPr>
        <w:t>a sostenibilidad de la agroindustria azucarera,</w:t>
      </w:r>
      <w:r w:rsidR="00F7054D" w:rsidRPr="00B01233">
        <w:rPr>
          <w:bCs/>
          <w:iCs/>
          <w:sz w:val="22"/>
        </w:rPr>
        <w:t xml:space="preserve"> entonces, estará incidida por las condiciones relacionadas con estructuras, procesos y la capacidad de una toma de decisiones que influya en manejos eficientes de recursos, mejore </w:t>
      </w:r>
      <w:r w:rsidR="00F7054D" w:rsidRPr="00B01233">
        <w:rPr>
          <w:sz w:val="22"/>
        </w:rPr>
        <w:t>la calidad de la materia prima, el procesamiento en la industria, así como el impacto ambiental. En otras palabras, las condiciones del suelo, sus manejos y condiciones climáticas, influirán en la materia prima principal de esta agroindustria, mientras que ineficiencias en el procesamiento de la caña</w:t>
      </w:r>
      <w:r w:rsidR="0061728D">
        <w:rPr>
          <w:sz w:val="22"/>
        </w:rPr>
        <w:t>,</w:t>
      </w:r>
      <w:r w:rsidR="00F7054D" w:rsidRPr="00B01233">
        <w:rPr>
          <w:sz w:val="22"/>
        </w:rPr>
        <w:t xml:space="preserve"> reducirán la cantidad de azúcar que es producida (</w:t>
      </w:r>
      <w:proofErr w:type="spellStart"/>
      <w:r w:rsidR="00F7054D" w:rsidRPr="00B01233">
        <w:rPr>
          <w:bCs/>
          <w:sz w:val="22"/>
        </w:rPr>
        <w:t>Kustiyo</w:t>
      </w:r>
      <w:proofErr w:type="spellEnd"/>
      <w:r w:rsidR="00F7054D" w:rsidRPr="00B01233">
        <w:rPr>
          <w:bCs/>
          <w:sz w:val="22"/>
        </w:rPr>
        <w:t xml:space="preserve"> </w:t>
      </w:r>
      <w:r w:rsidR="00F7054D" w:rsidRPr="00B01233">
        <w:rPr>
          <w:rFonts w:cs="MinionPro-It"/>
          <w:bCs/>
          <w:iCs/>
          <w:sz w:val="22"/>
        </w:rPr>
        <w:t>y</w:t>
      </w:r>
      <w:r w:rsidR="00F7054D" w:rsidRPr="00B01233">
        <w:rPr>
          <w:bCs/>
          <w:sz w:val="22"/>
        </w:rPr>
        <w:t xml:space="preserve"> </w:t>
      </w:r>
      <w:proofErr w:type="spellStart"/>
      <w:r w:rsidR="00F7054D" w:rsidRPr="00B01233">
        <w:rPr>
          <w:bCs/>
          <w:sz w:val="22"/>
        </w:rPr>
        <w:t>Arkeman</w:t>
      </w:r>
      <w:proofErr w:type="spellEnd"/>
      <w:r w:rsidR="00F7054D" w:rsidRPr="00B01233">
        <w:rPr>
          <w:bCs/>
          <w:sz w:val="22"/>
        </w:rPr>
        <w:t xml:space="preserve">, 2019). Por tal motivo, el objetivo de este trabajo es </w:t>
      </w:r>
      <w:r w:rsidR="00F7054D" w:rsidRPr="007444B8">
        <w:rPr>
          <w:bCs/>
          <w:sz w:val="22"/>
        </w:rPr>
        <w:t>ajust</w:t>
      </w:r>
      <w:r w:rsidR="00BA256F">
        <w:rPr>
          <w:bCs/>
          <w:sz w:val="22"/>
        </w:rPr>
        <w:t xml:space="preserve">ar </w:t>
      </w:r>
      <w:r w:rsidR="00F7054D" w:rsidRPr="00B01233">
        <w:rPr>
          <w:bCs/>
          <w:sz w:val="22"/>
        </w:rPr>
        <w:t xml:space="preserve">un modelo de regresión para la predicción del perjuicio relacionado a las pérdidas industriales en un proceso azucarero. </w:t>
      </w:r>
    </w:p>
    <w:p w14:paraId="252DECC4" w14:textId="77777777" w:rsidR="00CD29BC" w:rsidRPr="00B01233" w:rsidRDefault="00CD29BC" w:rsidP="00EA3662">
      <w:pPr>
        <w:rPr>
          <w:bCs/>
          <w:sz w:val="22"/>
        </w:rPr>
      </w:pPr>
    </w:p>
    <w:p w14:paraId="6DE0F125" w14:textId="4DD6CCEC" w:rsidR="001D3711" w:rsidRPr="00B01233" w:rsidRDefault="00295A0B" w:rsidP="00EA3662">
      <w:pPr>
        <w:rPr>
          <w:b/>
          <w:bCs/>
          <w:sz w:val="22"/>
        </w:rPr>
      </w:pPr>
      <w:r w:rsidRPr="00B01233">
        <w:rPr>
          <w:b/>
          <w:bCs/>
          <w:sz w:val="22"/>
        </w:rPr>
        <w:t xml:space="preserve">Materiales y </w:t>
      </w:r>
      <w:r w:rsidR="000165B0">
        <w:rPr>
          <w:b/>
          <w:bCs/>
          <w:sz w:val="22"/>
        </w:rPr>
        <w:t>M</w:t>
      </w:r>
      <w:r w:rsidRPr="00B01233">
        <w:rPr>
          <w:b/>
          <w:bCs/>
          <w:sz w:val="22"/>
        </w:rPr>
        <w:t xml:space="preserve">étodos </w:t>
      </w:r>
      <w:r w:rsidR="00F7054D" w:rsidRPr="00B01233">
        <w:rPr>
          <w:b/>
          <w:bCs/>
          <w:sz w:val="22"/>
        </w:rPr>
        <w:t xml:space="preserve">  </w:t>
      </w:r>
    </w:p>
    <w:p w14:paraId="698FFF64" w14:textId="1AE1BDA1" w:rsidR="00CD29BC" w:rsidRDefault="00D5232E" w:rsidP="00EA3662">
      <w:pPr>
        <w:rPr>
          <w:sz w:val="22"/>
        </w:rPr>
      </w:pPr>
      <w:r>
        <w:rPr>
          <w:rFonts w:cs="Arial"/>
          <w:sz w:val="22"/>
          <w:szCs w:val="20"/>
        </w:rPr>
        <w:t>La</w:t>
      </w:r>
      <w:r w:rsidRPr="000E5C8A">
        <w:rPr>
          <w:rFonts w:cs="Arial"/>
          <w:sz w:val="22"/>
          <w:szCs w:val="20"/>
        </w:rPr>
        <w:t xml:space="preserve"> agroindustria </w:t>
      </w:r>
      <w:r>
        <w:rPr>
          <w:rFonts w:cs="Arial"/>
          <w:sz w:val="22"/>
          <w:szCs w:val="20"/>
        </w:rPr>
        <w:t>analizada se encuentra ubicada a 22° 31' 55</w:t>
      </w:r>
      <w:r w:rsidRPr="00CE42F9">
        <w:rPr>
          <w:rFonts w:cs="Arial"/>
          <w:sz w:val="22"/>
          <w:szCs w:val="20"/>
        </w:rPr>
        <w:t>"</w:t>
      </w:r>
      <w:r w:rsidR="007444B8">
        <w:rPr>
          <w:rFonts w:cs="Arial"/>
          <w:sz w:val="22"/>
          <w:szCs w:val="20"/>
        </w:rPr>
        <w:t xml:space="preserve"> N y </w:t>
      </w:r>
      <w:r>
        <w:rPr>
          <w:rFonts w:cs="Arial"/>
          <w:sz w:val="22"/>
          <w:szCs w:val="20"/>
        </w:rPr>
        <w:t>80° 52' 8</w:t>
      </w:r>
      <w:r w:rsidRPr="00CE42F9">
        <w:rPr>
          <w:rFonts w:cs="Arial"/>
          <w:sz w:val="22"/>
          <w:szCs w:val="20"/>
        </w:rPr>
        <w:t>"</w:t>
      </w:r>
      <w:r>
        <w:rPr>
          <w:rFonts w:cs="Arial"/>
          <w:sz w:val="22"/>
          <w:szCs w:val="20"/>
        </w:rPr>
        <w:t xml:space="preserve"> O en el </w:t>
      </w:r>
      <w:r w:rsidRPr="000E5C8A">
        <w:rPr>
          <w:rFonts w:cs="Arial"/>
          <w:sz w:val="22"/>
          <w:szCs w:val="20"/>
        </w:rPr>
        <w:t xml:space="preserve">municipio </w:t>
      </w:r>
      <w:proofErr w:type="spellStart"/>
      <w:r w:rsidRPr="000E5C8A">
        <w:rPr>
          <w:rFonts w:cs="Arial"/>
          <w:sz w:val="22"/>
          <w:szCs w:val="20"/>
        </w:rPr>
        <w:t>Calimete</w:t>
      </w:r>
      <w:proofErr w:type="spellEnd"/>
      <w:r w:rsidRPr="000E5C8A">
        <w:rPr>
          <w:rFonts w:cs="Arial"/>
          <w:sz w:val="22"/>
          <w:szCs w:val="20"/>
        </w:rPr>
        <w:t>, Provincia Matanzas (Cuba)</w:t>
      </w:r>
      <w:r>
        <w:rPr>
          <w:rFonts w:cs="Arial"/>
          <w:sz w:val="22"/>
          <w:szCs w:val="20"/>
        </w:rPr>
        <w:t xml:space="preserve">. </w:t>
      </w:r>
      <w:r w:rsidR="00CD29BC" w:rsidRPr="003134A1">
        <w:rPr>
          <w:sz w:val="22"/>
        </w:rPr>
        <w:t>Las complejidades de</w:t>
      </w:r>
      <w:r w:rsidRPr="003134A1">
        <w:rPr>
          <w:sz w:val="22"/>
        </w:rPr>
        <w:t xml:space="preserve"> </w:t>
      </w:r>
      <w:r w:rsidR="007444B8" w:rsidRPr="003134A1">
        <w:rPr>
          <w:sz w:val="22"/>
        </w:rPr>
        <w:t>este sistema</w:t>
      </w:r>
      <w:r w:rsidR="00CD29BC" w:rsidRPr="003134A1">
        <w:rPr>
          <w:sz w:val="22"/>
        </w:rPr>
        <w:t>,</w:t>
      </w:r>
      <w:r w:rsidR="00CD29BC" w:rsidRPr="003134A1">
        <w:rPr>
          <w:i/>
          <w:sz w:val="22"/>
        </w:rPr>
        <w:t xml:space="preserve"> </w:t>
      </w:r>
      <w:r w:rsidR="00CD29BC" w:rsidRPr="003134A1">
        <w:rPr>
          <w:sz w:val="22"/>
        </w:rPr>
        <w:t xml:space="preserve">están comprendidas en diferentes </w:t>
      </w:r>
      <w:r w:rsidR="007444B8" w:rsidRPr="003134A1">
        <w:rPr>
          <w:sz w:val="22"/>
        </w:rPr>
        <w:t>escalas espaciales y temporales</w:t>
      </w:r>
      <w:r w:rsidR="00CD29BC" w:rsidRPr="003134A1">
        <w:rPr>
          <w:sz w:val="22"/>
        </w:rPr>
        <w:t>. Ambos sectores, agrícola e industrial, están sometidos a diversos impulsores de cambio, que fomentan beneficios o los perjudican y se relacionan con el manejo, la calidad de la caña de azúcar y la eficiencia industrial para procesarla.</w:t>
      </w:r>
      <w:r w:rsidR="003134A1" w:rsidRPr="003134A1">
        <w:rPr>
          <w:sz w:val="22"/>
        </w:rPr>
        <w:t xml:space="preserve"> En donde, una analítica predictiva fue de utilidad para los fines de diagnóstico y comprensión de variabilidades temporales. En el trabajo se </w:t>
      </w:r>
      <w:r w:rsidR="00567DDB">
        <w:rPr>
          <w:sz w:val="22"/>
        </w:rPr>
        <w:t>r</w:t>
      </w:r>
      <w:r w:rsidR="0018411C" w:rsidRPr="003134A1">
        <w:rPr>
          <w:sz w:val="22"/>
        </w:rPr>
        <w:t xml:space="preserve">ealizó </w:t>
      </w:r>
      <w:r w:rsidR="00CD29BC" w:rsidRPr="003134A1">
        <w:rPr>
          <w:sz w:val="22"/>
        </w:rPr>
        <w:t xml:space="preserve">la organización de </w:t>
      </w:r>
      <w:r w:rsidR="00E96BF5" w:rsidRPr="003134A1">
        <w:rPr>
          <w:sz w:val="22"/>
        </w:rPr>
        <w:t xml:space="preserve">una </w:t>
      </w:r>
      <w:r w:rsidR="00CD29BC" w:rsidRPr="003134A1">
        <w:rPr>
          <w:sz w:val="22"/>
        </w:rPr>
        <w:t>base de datos</w:t>
      </w:r>
      <w:r w:rsidR="00E96BF5" w:rsidRPr="003134A1">
        <w:rPr>
          <w:sz w:val="22"/>
        </w:rPr>
        <w:t xml:space="preserve"> y con</w:t>
      </w:r>
      <w:r w:rsidR="00CD29BC" w:rsidRPr="003134A1">
        <w:rPr>
          <w:sz w:val="22"/>
        </w:rPr>
        <w:t xml:space="preserve"> </w:t>
      </w:r>
      <w:r w:rsidR="0018411C" w:rsidRPr="003134A1">
        <w:rPr>
          <w:sz w:val="22"/>
        </w:rPr>
        <w:t>la utilización d</w:t>
      </w:r>
      <w:r w:rsidR="00CD29BC" w:rsidRPr="003134A1">
        <w:rPr>
          <w:sz w:val="22"/>
        </w:rPr>
        <w:t>el lenguaje de programación de (R)</w:t>
      </w:r>
      <w:r w:rsidR="00E96BF5" w:rsidRPr="003134A1">
        <w:rPr>
          <w:sz w:val="22"/>
        </w:rPr>
        <w:t>,</w:t>
      </w:r>
      <w:r w:rsidR="00CD29BC" w:rsidRPr="003134A1">
        <w:rPr>
          <w:sz w:val="22"/>
        </w:rPr>
        <w:t xml:space="preserve"> </w:t>
      </w:r>
      <w:r w:rsidR="00CD29BC" w:rsidRPr="003134A1">
        <w:rPr>
          <w:i/>
          <w:sz w:val="22"/>
        </w:rPr>
        <w:t>software</w:t>
      </w:r>
      <w:r w:rsidR="00CD29BC" w:rsidRPr="003134A1">
        <w:rPr>
          <w:sz w:val="22"/>
        </w:rPr>
        <w:t xml:space="preserve"> versión 3.6.1 (R </w:t>
      </w:r>
      <w:proofErr w:type="spellStart"/>
      <w:r w:rsidR="00CD29BC" w:rsidRPr="003134A1">
        <w:rPr>
          <w:i/>
          <w:sz w:val="22"/>
        </w:rPr>
        <w:t>Core</w:t>
      </w:r>
      <w:proofErr w:type="spellEnd"/>
      <w:r w:rsidR="00CD29BC" w:rsidRPr="003134A1">
        <w:rPr>
          <w:i/>
          <w:sz w:val="22"/>
        </w:rPr>
        <w:t xml:space="preserve"> </w:t>
      </w:r>
      <w:proofErr w:type="spellStart"/>
      <w:r w:rsidR="00CD29BC" w:rsidRPr="003134A1">
        <w:rPr>
          <w:i/>
          <w:sz w:val="22"/>
        </w:rPr>
        <w:t>Team</w:t>
      </w:r>
      <w:proofErr w:type="spellEnd"/>
      <w:r w:rsidR="00CD29BC" w:rsidRPr="003134A1">
        <w:rPr>
          <w:sz w:val="22"/>
        </w:rPr>
        <w:t xml:space="preserve">, 2019). </w:t>
      </w:r>
      <w:r w:rsidR="003134A1" w:rsidRPr="003134A1">
        <w:rPr>
          <w:sz w:val="22"/>
        </w:rPr>
        <w:t>L</w:t>
      </w:r>
      <w:r w:rsidR="00CD29BC" w:rsidRPr="003134A1">
        <w:rPr>
          <w:sz w:val="22"/>
        </w:rPr>
        <w:t>a analítica predictiva</w:t>
      </w:r>
      <w:r w:rsidR="003134A1" w:rsidRPr="003134A1">
        <w:rPr>
          <w:sz w:val="22"/>
        </w:rPr>
        <w:t xml:space="preserve"> entonces, se relacionó</w:t>
      </w:r>
      <w:r w:rsidR="00CD29BC" w:rsidRPr="003134A1">
        <w:rPr>
          <w:sz w:val="22"/>
        </w:rPr>
        <w:t xml:space="preserve"> con los métodos pa</w:t>
      </w:r>
      <w:r w:rsidR="00E96BF5" w:rsidRPr="003134A1">
        <w:rPr>
          <w:sz w:val="22"/>
        </w:rPr>
        <w:t>ra la recolección, organización y tabulación, que</w:t>
      </w:r>
      <w:r w:rsidR="00CD29BC" w:rsidRPr="003134A1">
        <w:rPr>
          <w:sz w:val="22"/>
        </w:rPr>
        <w:t xml:space="preserve"> p</w:t>
      </w:r>
      <w:r w:rsidR="003134A1" w:rsidRPr="003134A1">
        <w:rPr>
          <w:sz w:val="22"/>
        </w:rPr>
        <w:t>ermitieron</w:t>
      </w:r>
      <w:r w:rsidR="00E96BF5" w:rsidRPr="003134A1">
        <w:rPr>
          <w:sz w:val="22"/>
        </w:rPr>
        <w:t xml:space="preserve"> el análisis de los datos y</w:t>
      </w:r>
      <w:r w:rsidR="00CD29BC" w:rsidRPr="003134A1">
        <w:rPr>
          <w:sz w:val="22"/>
        </w:rPr>
        <w:t xml:space="preserve"> la</w:t>
      </w:r>
      <w:r w:rsidR="003134A1" w:rsidRPr="003134A1">
        <w:rPr>
          <w:sz w:val="22"/>
        </w:rPr>
        <w:t xml:space="preserve"> predicción de comportamientos</w:t>
      </w:r>
      <w:r w:rsidR="00CD29BC" w:rsidRPr="003134A1">
        <w:rPr>
          <w:sz w:val="22"/>
        </w:rPr>
        <w:t>.</w:t>
      </w:r>
      <w:r w:rsidR="003134A1">
        <w:rPr>
          <w:sz w:val="22"/>
        </w:rPr>
        <w:t xml:space="preserve"> </w:t>
      </w:r>
      <w:r w:rsidR="004E065C" w:rsidRPr="00B01233">
        <w:rPr>
          <w:sz w:val="22"/>
        </w:rPr>
        <w:t>Todo ello, fue de utilidad en una valoración de perjuicios</w:t>
      </w:r>
      <w:r w:rsidR="00CD29BC" w:rsidRPr="00B01233">
        <w:rPr>
          <w:sz w:val="22"/>
        </w:rPr>
        <w:t xml:space="preserve"> </w:t>
      </w:r>
      <w:r w:rsidR="003134A1">
        <w:rPr>
          <w:sz w:val="22"/>
        </w:rPr>
        <w:t>que se basó</w:t>
      </w:r>
      <w:r w:rsidR="00CD29BC" w:rsidRPr="00B01233">
        <w:rPr>
          <w:sz w:val="22"/>
        </w:rPr>
        <w:t xml:space="preserve"> en captar las variabilidades temporales a menores escalas de análisis</w:t>
      </w:r>
      <w:r w:rsidR="003134A1">
        <w:rPr>
          <w:sz w:val="22"/>
        </w:rPr>
        <w:t>, lo que denotó</w:t>
      </w:r>
      <w:r w:rsidR="00CD29BC" w:rsidRPr="00B01233">
        <w:rPr>
          <w:sz w:val="22"/>
        </w:rPr>
        <w:t xml:space="preserve"> la utilidad de los modelos predictivos para </w:t>
      </w:r>
      <w:r w:rsidR="004E065C" w:rsidRPr="00B01233">
        <w:rPr>
          <w:sz w:val="22"/>
        </w:rPr>
        <w:t>determinar los impactos de ineficiencias</w:t>
      </w:r>
      <w:r w:rsidR="00092840">
        <w:rPr>
          <w:sz w:val="22"/>
        </w:rPr>
        <w:t xml:space="preserve"> (Fig</w:t>
      </w:r>
      <w:r w:rsidR="003134A1">
        <w:rPr>
          <w:sz w:val="22"/>
        </w:rPr>
        <w:t>ura</w:t>
      </w:r>
      <w:r w:rsidR="00092840">
        <w:rPr>
          <w:sz w:val="22"/>
        </w:rPr>
        <w:t xml:space="preserve"> 1)</w:t>
      </w:r>
      <w:r w:rsidR="00CD29BC" w:rsidRPr="00B01233">
        <w:rPr>
          <w:sz w:val="22"/>
        </w:rPr>
        <w:t xml:space="preserve">. </w:t>
      </w:r>
    </w:p>
    <w:p w14:paraId="54458F58" w14:textId="77777777" w:rsidR="00092840" w:rsidRDefault="00092840" w:rsidP="00EA3662">
      <w:pPr>
        <w:jc w:val="center"/>
        <w:rPr>
          <w:sz w:val="22"/>
        </w:rPr>
      </w:pPr>
      <w:r w:rsidRPr="00092840">
        <w:rPr>
          <w:noProof/>
          <w:lang w:val="es-MX" w:eastAsia="es-MX"/>
        </w:rPr>
        <w:lastRenderedPageBreak/>
        <w:drawing>
          <wp:inline distT="0" distB="0" distL="0" distR="0" wp14:anchorId="695BED5E" wp14:editId="06AE308E">
            <wp:extent cx="4261104" cy="2011574"/>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33000"/>
                              </a14:imgEffect>
                            </a14:imgLayer>
                          </a14:imgProps>
                        </a:ext>
                      </a:extLst>
                    </a:blip>
                    <a:stretch>
                      <a:fillRect/>
                    </a:stretch>
                  </pic:blipFill>
                  <pic:spPr>
                    <a:xfrm>
                      <a:off x="0" y="0"/>
                      <a:ext cx="4291861" cy="2026094"/>
                    </a:xfrm>
                    <a:prstGeom prst="rect">
                      <a:avLst/>
                    </a:prstGeom>
                  </pic:spPr>
                </pic:pic>
              </a:graphicData>
            </a:graphic>
          </wp:inline>
        </w:drawing>
      </w:r>
    </w:p>
    <w:p w14:paraId="0B991204" w14:textId="77777777" w:rsidR="00092840" w:rsidRPr="00340943" w:rsidRDefault="00092840" w:rsidP="00EA3662">
      <w:pPr>
        <w:jc w:val="center"/>
        <w:rPr>
          <w:b/>
          <w:sz w:val="22"/>
        </w:rPr>
      </w:pPr>
      <w:r w:rsidRPr="00340943">
        <w:rPr>
          <w:b/>
          <w:sz w:val="22"/>
        </w:rPr>
        <w:t xml:space="preserve">Figura 1. Diagrama general de trabajo </w:t>
      </w:r>
    </w:p>
    <w:p w14:paraId="0A54DE47" w14:textId="77777777" w:rsidR="004E065C" w:rsidRPr="00575141" w:rsidRDefault="004E065C" w:rsidP="00EA3662">
      <w:pPr>
        <w:pStyle w:val="Ttulo3"/>
        <w:spacing w:line="360" w:lineRule="auto"/>
        <w:rPr>
          <w:rFonts w:ascii="Arial" w:eastAsia="Calibri" w:hAnsi="Arial" w:cs="Arial"/>
          <w:sz w:val="22"/>
          <w:szCs w:val="22"/>
        </w:rPr>
      </w:pPr>
      <w:r w:rsidRPr="00575141">
        <w:rPr>
          <w:rFonts w:ascii="Arial" w:eastAsia="Calibri" w:hAnsi="Arial" w:cs="Arial"/>
          <w:sz w:val="22"/>
          <w:szCs w:val="22"/>
        </w:rPr>
        <w:t xml:space="preserve">Indicadores de extracción azucarera </w:t>
      </w:r>
    </w:p>
    <w:p w14:paraId="74DFED75" w14:textId="5AAE74B8" w:rsidR="004E065C" w:rsidRPr="00B01233" w:rsidRDefault="007A24D9" w:rsidP="00EA3662">
      <w:pPr>
        <w:rPr>
          <w:rFonts w:eastAsia="Calibri"/>
          <w:sz w:val="22"/>
        </w:rPr>
      </w:pPr>
      <w:r w:rsidRPr="007A24D9">
        <w:rPr>
          <w:rFonts w:eastAsia="Calibri"/>
          <w:sz w:val="22"/>
        </w:rPr>
        <w:t>En</w:t>
      </w:r>
      <w:r w:rsidR="007831C1" w:rsidRPr="007A24D9">
        <w:rPr>
          <w:rFonts w:eastAsia="Calibri"/>
          <w:sz w:val="22"/>
        </w:rPr>
        <w:t xml:space="preserve"> este caso, s</w:t>
      </w:r>
      <w:r w:rsidR="00A721DA" w:rsidRPr="007A24D9">
        <w:rPr>
          <w:rFonts w:eastAsia="Calibri"/>
          <w:sz w:val="22"/>
        </w:rPr>
        <w:t>e consideró</w:t>
      </w:r>
      <w:r w:rsidR="004E065C" w:rsidRPr="007A24D9">
        <w:rPr>
          <w:rFonts w:eastAsia="Calibri"/>
          <w:sz w:val="22"/>
        </w:rPr>
        <w:t xml:space="preserve"> una escala de valores diarios </w:t>
      </w:r>
      <w:r w:rsidR="007831C1" w:rsidRPr="007A24D9">
        <w:rPr>
          <w:rFonts w:eastAsia="Calibri"/>
          <w:sz w:val="22"/>
        </w:rPr>
        <w:t xml:space="preserve">que permitió </w:t>
      </w:r>
      <w:r w:rsidR="004E065C" w:rsidRPr="007A24D9">
        <w:rPr>
          <w:rFonts w:eastAsia="Calibri"/>
          <w:sz w:val="22"/>
        </w:rPr>
        <w:t>a</w:t>
      </w:r>
      <w:r w:rsidRPr="007A24D9">
        <w:rPr>
          <w:rFonts w:eastAsia="Calibri"/>
          <w:sz w:val="22"/>
        </w:rPr>
        <w:t>dquirir suficiente información</w:t>
      </w:r>
      <w:r w:rsidR="007831C1" w:rsidRPr="007A24D9">
        <w:rPr>
          <w:rFonts w:eastAsia="Calibri"/>
          <w:sz w:val="22"/>
        </w:rPr>
        <w:t xml:space="preserve"> </w:t>
      </w:r>
      <w:r w:rsidRPr="007A24D9">
        <w:rPr>
          <w:rFonts w:eastAsia="Calibri"/>
          <w:sz w:val="22"/>
        </w:rPr>
        <w:t>para</w:t>
      </w:r>
      <w:r w:rsidR="007831C1" w:rsidRPr="007A24D9">
        <w:rPr>
          <w:rFonts w:eastAsia="Calibri"/>
          <w:sz w:val="22"/>
        </w:rPr>
        <w:t xml:space="preserve"> un </w:t>
      </w:r>
      <w:r w:rsidR="004E065C" w:rsidRPr="007A24D9">
        <w:rPr>
          <w:rFonts w:eastAsia="Calibri"/>
          <w:sz w:val="22"/>
        </w:rPr>
        <w:t>análisis de relaciones causa-efecto.</w:t>
      </w:r>
      <w:r w:rsidR="004E065C" w:rsidRPr="00B01233">
        <w:rPr>
          <w:rFonts w:eastAsia="Calibri"/>
          <w:sz w:val="22"/>
        </w:rPr>
        <w:t xml:space="preserve"> </w:t>
      </w:r>
    </w:p>
    <w:p w14:paraId="4DA58D07" w14:textId="00A06A63" w:rsidR="004E065C" w:rsidRPr="00B01233" w:rsidRDefault="004E065C" w:rsidP="00EA3662">
      <w:pPr>
        <w:rPr>
          <w:rFonts w:eastAsia="Calibri"/>
          <w:sz w:val="22"/>
          <w:lang w:val="es-EC"/>
        </w:rPr>
      </w:pPr>
      <w:r w:rsidRPr="00B01233">
        <w:rPr>
          <w:rFonts w:eastAsia="Calibri"/>
          <w:sz w:val="22"/>
        </w:rPr>
        <w:t>Se seleccion</w:t>
      </w:r>
      <w:r w:rsidR="0017525B">
        <w:rPr>
          <w:rFonts w:eastAsia="Calibri"/>
          <w:sz w:val="22"/>
        </w:rPr>
        <w:t>aron</w:t>
      </w:r>
      <w:r w:rsidRPr="00B01233">
        <w:rPr>
          <w:rFonts w:eastAsia="Calibri"/>
          <w:sz w:val="22"/>
        </w:rPr>
        <w:t xml:space="preserve"> tres zafras de forma aleatoria en el período</w:t>
      </w:r>
      <w:r w:rsidR="00A721DA">
        <w:rPr>
          <w:rFonts w:eastAsia="Calibri"/>
          <w:sz w:val="22"/>
        </w:rPr>
        <w:t xml:space="preserve"> de 2004 a 2021</w:t>
      </w:r>
      <w:r w:rsidRPr="00B01233">
        <w:rPr>
          <w:rFonts w:eastAsia="Calibri"/>
          <w:sz w:val="22"/>
        </w:rPr>
        <w:t xml:space="preserve">, con un total de 340 días que abarcan la extracción azucarera en los años </w:t>
      </w:r>
      <w:r w:rsidRPr="00B01233">
        <w:rPr>
          <w:rFonts w:eastAsia="Calibri"/>
          <w:sz w:val="22"/>
          <w:lang w:val="es-EC"/>
        </w:rPr>
        <w:t xml:space="preserve">2014, 2015 y 2020. La elección de una escala diaria en diferentes años responde a la necesidad de mayor cantidad de datos; pues en una sola zafra, no se dispone de información suficiente para realizar los análisis causales con múltiples predictores y </w:t>
      </w:r>
      <w:r w:rsidR="0017525B">
        <w:rPr>
          <w:rFonts w:eastAsia="Calibri"/>
          <w:sz w:val="22"/>
          <w:lang w:val="es-EC"/>
        </w:rPr>
        <w:t>criterios</w:t>
      </w:r>
      <w:r w:rsidRPr="00B01233">
        <w:rPr>
          <w:rFonts w:eastAsia="Calibri"/>
          <w:sz w:val="22"/>
          <w:lang w:val="es-EC"/>
        </w:rPr>
        <w:t xml:space="preserve"> esta</w:t>
      </w:r>
      <w:r w:rsidR="0017525B">
        <w:rPr>
          <w:rFonts w:eastAsia="Calibri"/>
          <w:sz w:val="22"/>
          <w:lang w:val="es-EC"/>
        </w:rPr>
        <w:t>dísticos de ajuste y validación.</w:t>
      </w:r>
      <w:r w:rsidRPr="00B01233">
        <w:rPr>
          <w:rFonts w:eastAsia="Calibri"/>
          <w:sz w:val="22"/>
          <w:lang w:val="es-EC"/>
        </w:rPr>
        <w:t xml:space="preserve"> </w:t>
      </w:r>
      <w:r w:rsidR="0017525B">
        <w:rPr>
          <w:rFonts w:eastAsia="Calibri"/>
          <w:sz w:val="22"/>
          <w:lang w:val="es-EC"/>
        </w:rPr>
        <w:t>D</w:t>
      </w:r>
      <w:r w:rsidRPr="00B01233">
        <w:rPr>
          <w:rFonts w:eastAsia="Calibri"/>
          <w:sz w:val="22"/>
          <w:lang w:val="es-EC"/>
        </w:rPr>
        <w:t xml:space="preserve">onde se deben seleccionar entre 10 y 20 valores por cada variable (McDonald, 2014), además de dividir los datos en entrenamiento y prueba. </w:t>
      </w:r>
      <w:r w:rsidR="00E125EC">
        <w:rPr>
          <w:rFonts w:eastAsia="Calibri"/>
          <w:sz w:val="22"/>
          <w:lang w:val="es-EC"/>
        </w:rPr>
        <w:t xml:space="preserve">En este caso se utilizó como predictor las pérdidas industriales y la variable respuesta se elaboró a partir de las diferencias entre el potencial azucarero y la producción real obtenida. La selección de las perdidas industriales corresponde a investigaciones precedentes en este caso de estudio (García </w:t>
      </w:r>
      <w:r w:rsidR="00E125EC" w:rsidRPr="00E125EC">
        <w:rPr>
          <w:rFonts w:eastAsia="Calibri"/>
          <w:i/>
          <w:sz w:val="22"/>
          <w:lang w:val="es-EC"/>
        </w:rPr>
        <w:t>et al</w:t>
      </w:r>
      <w:r w:rsidR="00E125EC">
        <w:rPr>
          <w:rFonts w:eastAsia="Calibri"/>
          <w:sz w:val="22"/>
          <w:lang w:val="es-EC"/>
        </w:rPr>
        <w:t xml:space="preserve">., 2022) </w:t>
      </w:r>
    </w:p>
    <w:p w14:paraId="6066DB08" w14:textId="77777777" w:rsidR="00A721DA" w:rsidRDefault="00A721DA" w:rsidP="00EA3662">
      <w:pPr>
        <w:rPr>
          <w:b/>
          <w:sz w:val="22"/>
        </w:rPr>
      </w:pPr>
    </w:p>
    <w:p w14:paraId="64EDBE0F" w14:textId="77777777" w:rsidR="004E065C" w:rsidRPr="00B01233" w:rsidRDefault="004E065C" w:rsidP="00EA3662">
      <w:pPr>
        <w:rPr>
          <w:b/>
          <w:sz w:val="22"/>
        </w:rPr>
      </w:pPr>
      <w:r w:rsidRPr="00B01233">
        <w:rPr>
          <w:b/>
          <w:sz w:val="22"/>
        </w:rPr>
        <w:t>Modelos predictivos para análisis de causa-efecto</w:t>
      </w:r>
    </w:p>
    <w:p w14:paraId="1130DDDE" w14:textId="5156177E" w:rsidR="00351FF4" w:rsidRPr="00351FF4" w:rsidRDefault="00351FF4" w:rsidP="00EA3662">
      <w:pPr>
        <w:rPr>
          <w:sz w:val="22"/>
        </w:rPr>
      </w:pPr>
      <w:r>
        <w:rPr>
          <w:sz w:val="22"/>
        </w:rPr>
        <w:t>S</w:t>
      </w:r>
      <w:r w:rsidRPr="00351FF4">
        <w:rPr>
          <w:sz w:val="22"/>
        </w:rPr>
        <w:t xml:space="preserve">e </w:t>
      </w:r>
      <w:r w:rsidR="008F088F">
        <w:rPr>
          <w:sz w:val="22"/>
        </w:rPr>
        <w:t>analizó</w:t>
      </w:r>
      <w:r w:rsidR="009E7FB0" w:rsidRPr="00351FF4">
        <w:rPr>
          <w:sz w:val="22"/>
        </w:rPr>
        <w:t xml:space="preserve"> </w:t>
      </w:r>
      <w:r w:rsidR="004E065C" w:rsidRPr="00351FF4">
        <w:rPr>
          <w:sz w:val="22"/>
        </w:rPr>
        <w:t>la relación entre los predictores y l</w:t>
      </w:r>
      <w:r>
        <w:rPr>
          <w:sz w:val="22"/>
        </w:rPr>
        <w:t xml:space="preserve">a variable respuesta. Para ello, se </w:t>
      </w:r>
      <w:r w:rsidR="008F088F">
        <w:rPr>
          <w:sz w:val="22"/>
        </w:rPr>
        <w:t>efectuó</w:t>
      </w:r>
      <w:r>
        <w:rPr>
          <w:sz w:val="22"/>
        </w:rPr>
        <w:t xml:space="preserve"> una </w:t>
      </w:r>
      <w:r>
        <w:rPr>
          <w:color w:val="211D1E"/>
          <w:sz w:val="22"/>
        </w:rPr>
        <w:t>prueba de hipótesis y s</w:t>
      </w:r>
      <w:r w:rsidR="0017525B" w:rsidRPr="00351FF4">
        <w:rPr>
          <w:sz w:val="22"/>
        </w:rPr>
        <w:t>e comprobó</w:t>
      </w:r>
      <w:r w:rsidR="004E065C" w:rsidRPr="00351FF4">
        <w:rPr>
          <w:sz w:val="22"/>
        </w:rPr>
        <w:t xml:space="preserve"> el valor de la probabilidad (</w:t>
      </w:r>
      <w:r w:rsidR="004E065C" w:rsidRPr="00351FF4">
        <w:rPr>
          <w:i/>
          <w:sz w:val="22"/>
        </w:rPr>
        <w:t>p-</w:t>
      </w:r>
      <w:proofErr w:type="spellStart"/>
      <w:r w:rsidR="004E065C" w:rsidRPr="00351FF4">
        <w:rPr>
          <w:i/>
          <w:sz w:val="22"/>
        </w:rPr>
        <w:t>value</w:t>
      </w:r>
      <w:proofErr w:type="spellEnd"/>
      <w:r>
        <w:rPr>
          <w:sz w:val="22"/>
        </w:rPr>
        <w:t>). Los criterios fueron: s</w:t>
      </w:r>
      <w:r w:rsidR="004E065C" w:rsidRPr="00351FF4">
        <w:rPr>
          <w:sz w:val="22"/>
        </w:rPr>
        <w:t xml:space="preserve">i el </w:t>
      </w:r>
      <w:r w:rsidR="004E065C" w:rsidRPr="00351FF4">
        <w:rPr>
          <w:i/>
          <w:iCs/>
          <w:sz w:val="22"/>
        </w:rPr>
        <w:t>p-</w:t>
      </w:r>
      <w:proofErr w:type="spellStart"/>
      <w:r w:rsidR="004E065C" w:rsidRPr="00351FF4">
        <w:rPr>
          <w:i/>
          <w:iCs/>
          <w:sz w:val="22"/>
        </w:rPr>
        <w:t>value</w:t>
      </w:r>
      <w:proofErr w:type="spellEnd"/>
      <w:r w:rsidR="004E065C" w:rsidRPr="00351FF4">
        <w:rPr>
          <w:i/>
          <w:iCs/>
          <w:sz w:val="22"/>
        </w:rPr>
        <w:t xml:space="preserve"> </w:t>
      </w:r>
      <w:r w:rsidR="004E065C" w:rsidRPr="00351FF4">
        <w:rPr>
          <w:sz w:val="22"/>
        </w:rPr>
        <w:t xml:space="preserve">&gt; </w:t>
      </w:r>
      <w:r w:rsidR="004E065C" w:rsidRPr="00351FF4">
        <w:rPr>
          <w:rFonts w:ascii="Times New Roman" w:hAnsi="Times New Roman" w:cs="Times New Roman"/>
          <w:sz w:val="22"/>
        </w:rPr>
        <w:t xml:space="preserve">α </w:t>
      </w:r>
      <w:r w:rsidR="004E065C" w:rsidRPr="00351FF4">
        <w:rPr>
          <w:sz w:val="22"/>
        </w:rPr>
        <w:t>(</w:t>
      </w:r>
      <w:r w:rsidR="004E065C" w:rsidRPr="00351FF4">
        <w:rPr>
          <w:rFonts w:ascii="Times New Roman" w:hAnsi="Times New Roman" w:cs="Times New Roman"/>
          <w:sz w:val="22"/>
        </w:rPr>
        <w:t>α</w:t>
      </w:r>
      <w:r w:rsidR="004E065C" w:rsidRPr="00351FF4">
        <w:rPr>
          <w:sz w:val="22"/>
        </w:rPr>
        <w:t xml:space="preserve"> es igual a 0,05), no se rechaza la hipótesis nula H</w:t>
      </w:r>
      <w:r w:rsidR="004E065C" w:rsidRPr="00351FF4">
        <w:rPr>
          <w:sz w:val="22"/>
          <w:vertAlign w:val="subscript"/>
        </w:rPr>
        <w:t>0</w:t>
      </w:r>
      <w:r w:rsidR="004E065C" w:rsidRPr="00351FF4">
        <w:rPr>
          <w:sz w:val="22"/>
        </w:rPr>
        <w:t xml:space="preserve">. Sin embargo, si </w:t>
      </w:r>
      <w:r w:rsidR="004E065C" w:rsidRPr="00351FF4">
        <w:rPr>
          <w:i/>
          <w:iCs/>
          <w:sz w:val="22"/>
        </w:rPr>
        <w:t>p-</w:t>
      </w:r>
      <w:proofErr w:type="spellStart"/>
      <w:r w:rsidR="004E065C" w:rsidRPr="00351FF4">
        <w:rPr>
          <w:i/>
          <w:iCs/>
          <w:sz w:val="22"/>
        </w:rPr>
        <w:t>value</w:t>
      </w:r>
      <w:proofErr w:type="spellEnd"/>
      <w:r w:rsidR="004E065C" w:rsidRPr="00351FF4">
        <w:rPr>
          <w:i/>
          <w:iCs/>
          <w:sz w:val="22"/>
        </w:rPr>
        <w:t xml:space="preserve"> &lt; </w:t>
      </w:r>
      <w:r w:rsidR="004E065C" w:rsidRPr="00351FF4">
        <w:rPr>
          <w:rFonts w:ascii="Times New Roman" w:hAnsi="Times New Roman" w:cs="Times New Roman"/>
          <w:sz w:val="22"/>
        </w:rPr>
        <w:t>α</w:t>
      </w:r>
      <w:r w:rsidR="004E065C" w:rsidRPr="00351FF4">
        <w:rPr>
          <w:sz w:val="22"/>
        </w:rPr>
        <w:t xml:space="preserve">, se rechaza la hipótesis nula de que la pendiente es igual a cero (Carrasquilla-Batista </w:t>
      </w:r>
      <w:r w:rsidR="004E065C" w:rsidRPr="00351FF4">
        <w:rPr>
          <w:i/>
          <w:sz w:val="22"/>
        </w:rPr>
        <w:t>et al</w:t>
      </w:r>
      <w:r w:rsidR="004E065C" w:rsidRPr="00351FF4">
        <w:rPr>
          <w:sz w:val="22"/>
        </w:rPr>
        <w:t xml:space="preserve">., 2016; James </w:t>
      </w:r>
      <w:r w:rsidR="004E065C" w:rsidRPr="00351FF4">
        <w:rPr>
          <w:i/>
          <w:sz w:val="22"/>
        </w:rPr>
        <w:t>et al</w:t>
      </w:r>
      <w:r w:rsidR="004E065C" w:rsidRPr="00351FF4">
        <w:rPr>
          <w:sz w:val="22"/>
        </w:rPr>
        <w:t>., 2021).</w:t>
      </w:r>
    </w:p>
    <w:p w14:paraId="0FA144D5" w14:textId="1E1CADD8" w:rsidR="000A104F" w:rsidRPr="00351FF4" w:rsidRDefault="00351FF4" w:rsidP="00EA3662">
      <w:pPr>
        <w:rPr>
          <w:color w:val="131413"/>
          <w:sz w:val="22"/>
        </w:rPr>
      </w:pPr>
      <w:r>
        <w:rPr>
          <w:sz w:val="22"/>
        </w:rPr>
        <w:t xml:space="preserve">Se utilizaron </w:t>
      </w:r>
      <w:r w:rsidRPr="00B01233">
        <w:rPr>
          <w:color w:val="131413"/>
          <w:sz w:val="22"/>
        </w:rPr>
        <w:t>extensiones del modelo lineal</w:t>
      </w:r>
      <w:r>
        <w:rPr>
          <w:color w:val="131413"/>
          <w:sz w:val="22"/>
        </w:rPr>
        <w:t xml:space="preserve"> con el uso de </w:t>
      </w:r>
      <w:r w:rsidRPr="00B01233">
        <w:rPr>
          <w:color w:val="131413"/>
          <w:sz w:val="22"/>
        </w:rPr>
        <w:t xml:space="preserve">polinomio. </w:t>
      </w:r>
      <w:r>
        <w:rPr>
          <w:color w:val="131413"/>
          <w:sz w:val="22"/>
        </w:rPr>
        <w:t xml:space="preserve">En tal caso, se </w:t>
      </w:r>
      <w:r w:rsidRPr="00351FF4">
        <w:rPr>
          <w:color w:val="131413"/>
          <w:sz w:val="22"/>
        </w:rPr>
        <w:t xml:space="preserve">reemplazó el modelo lineal con una función de polinomio de grado d </w:t>
      </w:r>
      <w:r w:rsidR="006A253E" w:rsidRPr="00351FF4">
        <w:rPr>
          <w:color w:val="131413"/>
          <w:sz w:val="22"/>
        </w:rPr>
        <w:t>(</w:t>
      </w:r>
      <w:r w:rsidR="000A104F" w:rsidRPr="00351FF4">
        <w:rPr>
          <w:color w:val="131413"/>
          <w:sz w:val="22"/>
        </w:rPr>
        <w:t>1):</w:t>
      </w:r>
    </w:p>
    <w:p w14:paraId="38DA4AC3" w14:textId="77777777" w:rsidR="00D338B4" w:rsidRPr="00351FF4" w:rsidRDefault="000A104F" w:rsidP="00EA3662">
      <w:pPr>
        <w:autoSpaceDE w:val="0"/>
        <w:autoSpaceDN w:val="0"/>
        <w:adjustRightInd w:val="0"/>
        <w:rPr>
          <w:rFonts w:eastAsiaTheme="minorEastAsia"/>
          <w:sz w:val="22"/>
        </w:rPr>
      </w:pPr>
      <m:oMath>
        <m:r>
          <w:rPr>
            <w:rFonts w:ascii="Cambria Math" w:hAnsi="Cambria Math"/>
            <w:sz w:val="22"/>
          </w:rPr>
          <m:t>Y=</m:t>
        </m:r>
        <m:sSub>
          <m:sSubPr>
            <m:ctrlPr>
              <w:rPr>
                <w:rFonts w:ascii="Cambria Math" w:hAnsi="Cambria Math"/>
                <w:i/>
                <w:sz w:val="22"/>
              </w:rPr>
            </m:ctrlPr>
          </m:sSubPr>
          <m:e>
            <m:r>
              <w:rPr>
                <w:rFonts w:ascii="Cambria Math" w:hAnsi="Cambria Math"/>
                <w:sz w:val="22"/>
              </w:rPr>
              <m:t>B</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1</m:t>
            </m:r>
          </m:sub>
        </m:sSub>
        <m:sSub>
          <m:sSubPr>
            <m:ctrlPr>
              <w:rPr>
                <w:rFonts w:ascii="Cambria Math" w:hAnsi="Cambria Math"/>
                <w:i/>
                <w:sz w:val="22"/>
              </w:rPr>
            </m:ctrlPr>
          </m:sSubPr>
          <m:e>
            <m:r>
              <w:rPr>
                <w:rFonts w:ascii="Cambria Math" w:hAnsi="Cambria Math"/>
                <w:sz w:val="22"/>
              </w:rPr>
              <m:t>x</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2</m:t>
            </m:r>
          </m:sub>
        </m:sSub>
        <m:sSubSup>
          <m:sSubSupPr>
            <m:ctrlPr>
              <w:rPr>
                <w:rFonts w:ascii="Cambria Math" w:hAnsi="Cambria Math"/>
                <w:i/>
                <w:sz w:val="22"/>
              </w:rPr>
            </m:ctrlPr>
          </m:sSubSupPr>
          <m:e>
            <m:r>
              <w:rPr>
                <w:rFonts w:ascii="Cambria Math" w:hAnsi="Cambria Math"/>
                <w:sz w:val="22"/>
              </w:rPr>
              <m:t>x</m:t>
            </m:r>
          </m:e>
          <m:sub>
            <m:r>
              <w:rPr>
                <w:rFonts w:ascii="Cambria Math" w:hAnsi="Cambria Math"/>
                <w:sz w:val="22"/>
              </w:rPr>
              <m:t>i</m:t>
            </m:r>
          </m:sub>
          <m:sup>
            <m:r>
              <w:rPr>
                <w:rFonts w:ascii="Cambria Math" w:hAnsi="Cambria Math"/>
                <w:sz w:val="22"/>
              </w:rPr>
              <m:t>2</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3</m:t>
            </m:r>
          </m:sub>
        </m:sSub>
        <m:sSubSup>
          <m:sSubSupPr>
            <m:ctrlPr>
              <w:rPr>
                <w:rFonts w:ascii="Cambria Math" w:hAnsi="Cambria Math"/>
                <w:i/>
                <w:sz w:val="22"/>
              </w:rPr>
            </m:ctrlPr>
          </m:sSubSupPr>
          <m:e>
            <m:r>
              <w:rPr>
                <w:rFonts w:ascii="Cambria Math" w:hAnsi="Cambria Math"/>
                <w:sz w:val="22"/>
              </w:rPr>
              <m:t>x</m:t>
            </m:r>
          </m:e>
          <m:sub>
            <m:r>
              <w:rPr>
                <w:rFonts w:ascii="Cambria Math" w:hAnsi="Cambria Math"/>
                <w:sz w:val="22"/>
              </w:rPr>
              <m:t>i</m:t>
            </m:r>
          </m:sub>
          <m:sup>
            <m:r>
              <w:rPr>
                <w:rFonts w:ascii="Cambria Math" w:hAnsi="Cambria Math"/>
                <w:sz w:val="22"/>
              </w:rPr>
              <m:t>3</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B</m:t>
            </m:r>
          </m:e>
          <m:sub>
            <m:r>
              <w:rPr>
                <w:rFonts w:ascii="Cambria Math" w:hAnsi="Cambria Math"/>
                <w:sz w:val="22"/>
              </w:rPr>
              <m:t>d</m:t>
            </m:r>
          </m:sub>
        </m:sSub>
        <m:sSubSup>
          <m:sSubSupPr>
            <m:ctrlPr>
              <w:rPr>
                <w:rFonts w:ascii="Cambria Math" w:hAnsi="Cambria Math"/>
                <w:i/>
                <w:sz w:val="22"/>
              </w:rPr>
            </m:ctrlPr>
          </m:sSubSupPr>
          <m:e>
            <m:r>
              <w:rPr>
                <w:rFonts w:ascii="Cambria Math" w:hAnsi="Cambria Math"/>
                <w:sz w:val="22"/>
              </w:rPr>
              <m:t>x</m:t>
            </m:r>
          </m:e>
          <m:sub>
            <m:r>
              <w:rPr>
                <w:rFonts w:ascii="Cambria Math" w:hAnsi="Cambria Math"/>
                <w:sz w:val="22"/>
              </w:rPr>
              <m:t>i</m:t>
            </m:r>
          </m:sub>
          <m:sup>
            <m:r>
              <w:rPr>
                <w:rFonts w:ascii="Cambria Math" w:hAnsi="Cambria Math"/>
                <w:sz w:val="22"/>
              </w:rPr>
              <m:t>d</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e</m:t>
            </m:r>
          </m:e>
          <m:sub>
            <m:r>
              <w:rPr>
                <w:rFonts w:ascii="Cambria Math" w:hAnsi="Cambria Math"/>
                <w:sz w:val="22"/>
              </w:rPr>
              <m:t>i</m:t>
            </m:r>
          </m:sub>
        </m:sSub>
      </m:oMath>
      <w:r w:rsidRPr="00351FF4">
        <w:rPr>
          <w:color w:val="131413"/>
          <w:sz w:val="22"/>
        </w:rPr>
        <w:t xml:space="preserve">                                                  </w:t>
      </w:r>
      <w:r w:rsidR="006A253E" w:rsidRPr="00351FF4">
        <w:rPr>
          <w:rFonts w:eastAsiaTheme="minorEastAsia"/>
          <w:sz w:val="22"/>
        </w:rPr>
        <w:t>(</w:t>
      </w:r>
      <w:r w:rsidRPr="00351FF4">
        <w:rPr>
          <w:rFonts w:eastAsiaTheme="minorEastAsia"/>
          <w:sz w:val="22"/>
        </w:rPr>
        <w:t>1)</w:t>
      </w:r>
    </w:p>
    <w:p w14:paraId="2972FB33" w14:textId="0F41ECA0" w:rsidR="004E065C" w:rsidRPr="00D338B4" w:rsidRDefault="000A104F" w:rsidP="00EA3662">
      <w:pPr>
        <w:autoSpaceDE w:val="0"/>
        <w:autoSpaceDN w:val="0"/>
        <w:adjustRightInd w:val="0"/>
        <w:rPr>
          <w:rFonts w:eastAsiaTheme="minorEastAsia"/>
          <w:sz w:val="22"/>
        </w:rPr>
      </w:pPr>
      <w:r w:rsidRPr="00351FF4">
        <w:rPr>
          <w:sz w:val="22"/>
          <w:lang w:eastAsia="es-ES"/>
        </w:rPr>
        <w:lastRenderedPageBreak/>
        <w:t>Donde los términos B</w:t>
      </w:r>
      <w:r w:rsidRPr="00351FF4">
        <w:rPr>
          <w:sz w:val="22"/>
          <w:vertAlign w:val="subscript"/>
          <w:lang w:eastAsia="es-ES"/>
        </w:rPr>
        <w:t>0</w:t>
      </w:r>
      <w:r w:rsidRPr="00351FF4">
        <w:rPr>
          <w:sz w:val="22"/>
          <w:lang w:eastAsia="es-ES"/>
        </w:rPr>
        <w:t>, B</w:t>
      </w:r>
      <w:r w:rsidRPr="00351FF4">
        <w:rPr>
          <w:sz w:val="22"/>
          <w:vertAlign w:val="subscript"/>
          <w:lang w:eastAsia="es-ES"/>
        </w:rPr>
        <w:t>1</w:t>
      </w:r>
      <w:r w:rsidRPr="00351FF4">
        <w:rPr>
          <w:sz w:val="22"/>
          <w:lang w:eastAsia="es-ES"/>
        </w:rPr>
        <w:t>,…</w:t>
      </w:r>
      <w:proofErr w:type="gramStart"/>
      <w:r w:rsidRPr="00351FF4">
        <w:rPr>
          <w:sz w:val="22"/>
          <w:lang w:eastAsia="es-ES"/>
        </w:rPr>
        <w:t>,</w:t>
      </w:r>
      <w:proofErr w:type="spellStart"/>
      <w:r w:rsidRPr="00351FF4">
        <w:rPr>
          <w:sz w:val="22"/>
          <w:lang w:eastAsia="es-ES"/>
        </w:rPr>
        <w:t>B</w:t>
      </w:r>
      <w:r w:rsidRPr="00351FF4">
        <w:rPr>
          <w:sz w:val="22"/>
          <w:vertAlign w:val="subscript"/>
          <w:lang w:eastAsia="es-ES"/>
        </w:rPr>
        <w:t>d</w:t>
      </w:r>
      <w:proofErr w:type="spellEnd"/>
      <w:proofErr w:type="gramEnd"/>
      <w:r w:rsidRPr="00351FF4">
        <w:rPr>
          <w:sz w:val="22"/>
          <w:lang w:eastAsia="es-ES"/>
        </w:rPr>
        <w:t xml:space="preserve">, son los coeficientes de regresión, x los predictores y </w:t>
      </w:r>
      <w:proofErr w:type="spellStart"/>
      <w:r w:rsidRPr="00351FF4">
        <w:rPr>
          <w:sz w:val="22"/>
          <w:lang w:eastAsia="es-ES"/>
        </w:rPr>
        <w:t>e</w:t>
      </w:r>
      <w:r w:rsidRPr="00351FF4">
        <w:rPr>
          <w:sz w:val="22"/>
          <w:vertAlign w:val="subscript"/>
          <w:lang w:eastAsia="es-ES"/>
        </w:rPr>
        <w:t>i</w:t>
      </w:r>
      <w:proofErr w:type="spellEnd"/>
      <w:r w:rsidR="00351FF4" w:rsidRPr="00351FF4">
        <w:rPr>
          <w:sz w:val="22"/>
          <w:lang w:eastAsia="es-ES"/>
        </w:rPr>
        <w:t xml:space="preserve"> es el término de error</w:t>
      </w:r>
      <w:r w:rsidRPr="00351FF4">
        <w:rPr>
          <w:sz w:val="22"/>
          <w:lang w:eastAsia="es-ES"/>
        </w:rPr>
        <w:t xml:space="preserve">. </w:t>
      </w:r>
      <w:r w:rsidR="00CC2D48" w:rsidRPr="00351FF4">
        <w:rPr>
          <w:sz w:val="22"/>
          <w:lang w:eastAsia="es-ES"/>
        </w:rPr>
        <w:t xml:space="preserve">Basado en los criterios de </w:t>
      </w:r>
      <w:proofErr w:type="spellStart"/>
      <w:r w:rsidR="00CC2D48" w:rsidRPr="00351FF4">
        <w:rPr>
          <w:sz w:val="22"/>
          <w:lang w:eastAsia="es-ES"/>
        </w:rPr>
        <w:t>Ramasubramanian</w:t>
      </w:r>
      <w:proofErr w:type="spellEnd"/>
      <w:r w:rsidR="00CC2D48" w:rsidRPr="00351FF4">
        <w:rPr>
          <w:sz w:val="22"/>
          <w:lang w:eastAsia="es-ES"/>
        </w:rPr>
        <w:t xml:space="preserve"> </w:t>
      </w:r>
      <w:r w:rsidR="00CC2D48" w:rsidRPr="00351FF4">
        <w:rPr>
          <w:rFonts w:cs="MinionPro-It"/>
          <w:bCs/>
          <w:iCs/>
          <w:sz w:val="22"/>
        </w:rPr>
        <w:t>y</w:t>
      </w:r>
      <w:r w:rsidR="00CC2D48" w:rsidRPr="00351FF4">
        <w:rPr>
          <w:sz w:val="22"/>
          <w:lang w:eastAsia="es-ES"/>
        </w:rPr>
        <w:t xml:space="preserve"> Singh (2019), no se utilizó un valor (</w:t>
      </w:r>
      <w:r w:rsidRPr="00351FF4">
        <w:rPr>
          <w:i/>
          <w:sz w:val="22"/>
          <w:lang w:eastAsia="es-ES"/>
        </w:rPr>
        <w:t>d</w:t>
      </w:r>
      <w:r w:rsidR="00CC2D48" w:rsidRPr="00351FF4">
        <w:rPr>
          <w:sz w:val="22"/>
          <w:lang w:eastAsia="es-ES"/>
        </w:rPr>
        <w:t>) superior a</w:t>
      </w:r>
      <w:r w:rsidRPr="00351FF4">
        <w:rPr>
          <w:sz w:val="22"/>
          <w:lang w:eastAsia="es-ES"/>
        </w:rPr>
        <w:t xml:space="preserve"> 4 para </w:t>
      </w:r>
      <w:r w:rsidR="00CC2D48" w:rsidRPr="00351FF4">
        <w:rPr>
          <w:sz w:val="22"/>
          <w:lang w:eastAsia="es-ES"/>
        </w:rPr>
        <w:t>evitar sobre ajuste del modelo</w:t>
      </w:r>
    </w:p>
    <w:p w14:paraId="3B1B9DA2" w14:textId="77777777" w:rsidR="005355F6" w:rsidRPr="00B01233" w:rsidRDefault="005355F6" w:rsidP="00EA3662">
      <w:pPr>
        <w:rPr>
          <w:sz w:val="22"/>
        </w:rPr>
      </w:pPr>
    </w:p>
    <w:p w14:paraId="2D7B1BFB" w14:textId="77777777" w:rsidR="004E065C" w:rsidRPr="00B01233" w:rsidRDefault="004E065C" w:rsidP="00EA3662">
      <w:pPr>
        <w:pStyle w:val="Ttulo3"/>
        <w:spacing w:line="360" w:lineRule="auto"/>
        <w:rPr>
          <w:rFonts w:ascii="Arial" w:hAnsi="Arial" w:cs="Arial"/>
          <w:sz w:val="22"/>
          <w:szCs w:val="22"/>
        </w:rPr>
      </w:pPr>
      <w:r w:rsidRPr="00B01233">
        <w:rPr>
          <w:rFonts w:ascii="Arial" w:hAnsi="Arial" w:cs="Arial"/>
          <w:sz w:val="22"/>
          <w:szCs w:val="22"/>
        </w:rPr>
        <w:t>Ajuste de</w:t>
      </w:r>
      <w:r w:rsidR="000A104F" w:rsidRPr="00B01233">
        <w:rPr>
          <w:rFonts w:ascii="Arial" w:hAnsi="Arial" w:cs="Arial"/>
          <w:sz w:val="22"/>
          <w:szCs w:val="22"/>
        </w:rPr>
        <w:t>l</w:t>
      </w:r>
      <w:r w:rsidRPr="00B01233">
        <w:rPr>
          <w:rFonts w:ascii="Arial" w:hAnsi="Arial" w:cs="Arial"/>
          <w:sz w:val="22"/>
          <w:szCs w:val="22"/>
        </w:rPr>
        <w:t xml:space="preserve"> modelo de regresión de polinomio </w:t>
      </w:r>
    </w:p>
    <w:p w14:paraId="7C34726C" w14:textId="77777777" w:rsidR="000F7ABE" w:rsidRDefault="00491FB0" w:rsidP="00EA3662">
      <w:pPr>
        <w:rPr>
          <w:sz w:val="22"/>
        </w:rPr>
      </w:pPr>
      <w:r w:rsidRPr="000F7ABE">
        <w:rPr>
          <w:sz w:val="22"/>
        </w:rPr>
        <w:t xml:space="preserve">En el ajuste del modelo se utilizaron los </w:t>
      </w:r>
      <w:r w:rsidR="000F7ABE" w:rsidRPr="000F7ABE">
        <w:rPr>
          <w:sz w:val="22"/>
        </w:rPr>
        <w:t>parámetros</w:t>
      </w:r>
      <w:r w:rsidRPr="000F7ABE">
        <w:rPr>
          <w:sz w:val="22"/>
        </w:rPr>
        <w:t xml:space="preserve"> R</w:t>
      </w:r>
      <w:r w:rsidRPr="000F7ABE">
        <w:rPr>
          <w:sz w:val="22"/>
          <w:vertAlign w:val="superscript"/>
        </w:rPr>
        <w:t>2</w:t>
      </w:r>
      <w:r w:rsidR="000F7ABE" w:rsidRPr="000F7ABE">
        <w:rPr>
          <w:sz w:val="22"/>
        </w:rPr>
        <w:t xml:space="preserve"> y el RSE, que según</w:t>
      </w:r>
      <w:r w:rsidRPr="000F7ABE">
        <w:rPr>
          <w:sz w:val="22"/>
        </w:rPr>
        <w:t xml:space="preserve"> </w:t>
      </w:r>
      <w:r w:rsidR="000F7ABE" w:rsidRPr="000F7ABE">
        <w:rPr>
          <w:sz w:val="22"/>
        </w:rPr>
        <w:t xml:space="preserve">James </w:t>
      </w:r>
      <w:r w:rsidR="000F7ABE" w:rsidRPr="000F7ABE">
        <w:rPr>
          <w:i/>
          <w:sz w:val="22"/>
        </w:rPr>
        <w:t>et al</w:t>
      </w:r>
      <w:r w:rsidR="000F7ABE" w:rsidRPr="000F7ABE">
        <w:rPr>
          <w:sz w:val="22"/>
        </w:rPr>
        <w:t>. (2021) están e</w:t>
      </w:r>
      <w:r w:rsidR="004E065C" w:rsidRPr="000F7ABE">
        <w:rPr>
          <w:sz w:val="22"/>
        </w:rPr>
        <w:t xml:space="preserve">ntre las mediciones más comunes para </w:t>
      </w:r>
      <w:r w:rsidR="000F7ABE" w:rsidRPr="000F7ABE">
        <w:rPr>
          <w:sz w:val="22"/>
        </w:rPr>
        <w:t>tales funciones</w:t>
      </w:r>
      <w:r w:rsidR="004E065C" w:rsidRPr="000F7ABE">
        <w:rPr>
          <w:sz w:val="22"/>
        </w:rPr>
        <w:t xml:space="preserve">. </w:t>
      </w:r>
    </w:p>
    <w:p w14:paraId="66ED34A3" w14:textId="0316995E" w:rsidR="004E065C" w:rsidRPr="000F7ABE" w:rsidRDefault="004E065C" w:rsidP="00EA3662">
      <w:pPr>
        <w:rPr>
          <w:sz w:val="22"/>
          <w:lang w:eastAsia="es-ES"/>
        </w:rPr>
      </w:pPr>
      <w:r w:rsidRPr="000F7ABE">
        <w:rPr>
          <w:sz w:val="22"/>
        </w:rPr>
        <w:t>El e</w:t>
      </w:r>
      <w:r w:rsidRPr="000F7ABE">
        <w:rPr>
          <w:sz w:val="22"/>
          <w:lang w:eastAsia="es-ES"/>
        </w:rPr>
        <w:t>rror estándar de los residuos</w:t>
      </w:r>
      <w:r w:rsidRPr="000F7ABE">
        <w:rPr>
          <w:b/>
          <w:sz w:val="22"/>
          <w:lang w:eastAsia="es-ES"/>
        </w:rPr>
        <w:t xml:space="preserve"> </w:t>
      </w:r>
      <w:r w:rsidR="000F7ABE">
        <w:rPr>
          <w:sz w:val="22"/>
          <w:lang w:eastAsia="es-ES"/>
        </w:rPr>
        <w:t xml:space="preserve">(RSE) </w:t>
      </w:r>
      <w:r w:rsidR="006A253E" w:rsidRPr="000F7ABE">
        <w:rPr>
          <w:rFonts w:eastAsiaTheme="minorEastAsia"/>
          <w:sz w:val="22"/>
          <w:lang w:eastAsia="es-ES"/>
        </w:rPr>
        <w:t>(2</w:t>
      </w:r>
      <w:r w:rsidRPr="000F7ABE">
        <w:rPr>
          <w:sz w:val="22"/>
        </w:rPr>
        <w:t>)</w:t>
      </w:r>
      <w:r w:rsidRPr="000F7ABE">
        <w:rPr>
          <w:sz w:val="22"/>
          <w:lang w:eastAsia="es-ES"/>
        </w:rPr>
        <w:t xml:space="preserve">. </w:t>
      </w:r>
    </w:p>
    <w:p w14:paraId="350943DB" w14:textId="77777777" w:rsidR="004E065C" w:rsidRPr="000F7ABE" w:rsidRDefault="004E065C" w:rsidP="00EA3662">
      <w:pPr>
        <w:rPr>
          <w:sz w:val="22"/>
          <w:lang w:eastAsia="es-ES"/>
        </w:rPr>
      </w:pPr>
      <m:oMath>
        <m:r>
          <w:rPr>
            <w:rFonts w:ascii="Cambria Math" w:hAnsi="Cambria Math"/>
            <w:sz w:val="22"/>
            <w:lang w:eastAsia="es-ES"/>
          </w:rPr>
          <m:t>RSE=</m:t>
        </m:r>
        <m:rad>
          <m:radPr>
            <m:degHide m:val="1"/>
            <m:ctrlPr>
              <w:rPr>
                <w:rFonts w:ascii="Cambria Math" w:hAnsi="Cambria Math"/>
                <w:i/>
                <w:sz w:val="22"/>
                <w:lang w:eastAsia="es-ES"/>
              </w:rPr>
            </m:ctrlPr>
          </m:radPr>
          <m:deg/>
          <m:e>
            <m:f>
              <m:fPr>
                <m:ctrlPr>
                  <w:rPr>
                    <w:rFonts w:ascii="Cambria Math" w:hAnsi="Cambria Math"/>
                    <w:i/>
                    <w:sz w:val="22"/>
                    <w:lang w:eastAsia="es-ES"/>
                  </w:rPr>
                </m:ctrlPr>
              </m:fPr>
              <m:num>
                <m:r>
                  <w:rPr>
                    <w:rFonts w:ascii="Cambria Math" w:hAnsi="Cambria Math"/>
                    <w:sz w:val="22"/>
                    <w:lang w:eastAsia="es-ES"/>
                  </w:rPr>
                  <m:t>1</m:t>
                </m:r>
              </m:num>
              <m:den>
                <m:r>
                  <w:rPr>
                    <w:rFonts w:ascii="Cambria Math" w:hAnsi="Cambria Math"/>
                    <w:sz w:val="22"/>
                    <w:lang w:eastAsia="es-ES"/>
                  </w:rPr>
                  <m:t>n-p-1</m:t>
                </m:r>
              </m:den>
            </m:f>
            <m:r>
              <w:rPr>
                <w:rFonts w:ascii="Cambria Math" w:hAnsi="Cambria Math"/>
                <w:sz w:val="22"/>
                <w:lang w:eastAsia="es-ES"/>
              </w:rPr>
              <m:t>RSS</m:t>
            </m:r>
          </m:e>
        </m:rad>
      </m:oMath>
      <w:r w:rsidR="006A253E" w:rsidRPr="000F7ABE">
        <w:rPr>
          <w:rFonts w:eastAsiaTheme="minorEastAsia"/>
          <w:sz w:val="22"/>
          <w:lang w:eastAsia="es-ES"/>
        </w:rPr>
        <w:t xml:space="preserve">  </w:t>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r>
      <w:r w:rsidR="006A253E" w:rsidRPr="000F7ABE">
        <w:rPr>
          <w:rFonts w:eastAsiaTheme="minorEastAsia"/>
          <w:sz w:val="22"/>
          <w:lang w:eastAsia="es-ES"/>
        </w:rPr>
        <w:tab/>
        <w:t>(2</w:t>
      </w:r>
      <w:r w:rsidRPr="000F7ABE">
        <w:rPr>
          <w:rFonts w:eastAsiaTheme="minorEastAsia"/>
          <w:sz w:val="22"/>
          <w:lang w:eastAsia="es-ES"/>
        </w:rPr>
        <w:t>)</w:t>
      </w:r>
    </w:p>
    <w:p w14:paraId="3F7CFEF4" w14:textId="77777777" w:rsidR="0017525B" w:rsidRPr="000F7ABE" w:rsidRDefault="0017525B" w:rsidP="00EA3662">
      <w:pPr>
        <w:autoSpaceDE w:val="0"/>
        <w:autoSpaceDN w:val="0"/>
        <w:adjustRightInd w:val="0"/>
        <w:rPr>
          <w:sz w:val="22"/>
        </w:rPr>
      </w:pPr>
      <w:r w:rsidRPr="000F7ABE">
        <w:rPr>
          <w:sz w:val="22"/>
        </w:rPr>
        <w:t>Donde</w:t>
      </w:r>
    </w:p>
    <w:p w14:paraId="394D9AAD" w14:textId="77777777" w:rsidR="0017525B" w:rsidRPr="000F7ABE" w:rsidRDefault="0017525B" w:rsidP="00EA3662">
      <w:pPr>
        <w:autoSpaceDE w:val="0"/>
        <w:autoSpaceDN w:val="0"/>
        <w:adjustRightInd w:val="0"/>
        <w:rPr>
          <w:sz w:val="22"/>
        </w:rPr>
      </w:pPr>
      <w:r w:rsidRPr="000F7ABE">
        <w:rPr>
          <w:sz w:val="22"/>
        </w:rPr>
        <w:t xml:space="preserve">RSS: Cuadrado de la suma de </w:t>
      </w:r>
      <w:r w:rsidR="000076DE" w:rsidRPr="000F7ABE">
        <w:rPr>
          <w:sz w:val="22"/>
        </w:rPr>
        <w:t xml:space="preserve">los residuos </w:t>
      </w:r>
      <w:r w:rsidRPr="000F7ABE">
        <w:rPr>
          <w:sz w:val="22"/>
        </w:rPr>
        <w:t xml:space="preserve"> </w:t>
      </w:r>
    </w:p>
    <w:p w14:paraId="7133B5FD" w14:textId="77777777" w:rsidR="004E065C" w:rsidRPr="000F7ABE" w:rsidRDefault="004E065C" w:rsidP="00EA3662">
      <w:pPr>
        <w:autoSpaceDE w:val="0"/>
        <w:autoSpaceDN w:val="0"/>
        <w:adjustRightInd w:val="0"/>
        <w:rPr>
          <w:sz w:val="22"/>
        </w:rPr>
      </w:pPr>
      <w:r w:rsidRPr="000F7ABE">
        <w:rPr>
          <w:sz w:val="22"/>
        </w:rPr>
        <w:t>Grados de libertad (</w:t>
      </w:r>
      <w:proofErr w:type="spellStart"/>
      <w:r w:rsidRPr="000F7ABE">
        <w:rPr>
          <w:i/>
          <w:iCs/>
          <w:sz w:val="22"/>
        </w:rPr>
        <w:t>Gl</w:t>
      </w:r>
      <w:proofErr w:type="spellEnd"/>
      <w:r w:rsidRPr="000F7ABE">
        <w:rPr>
          <w:sz w:val="22"/>
        </w:rPr>
        <w:t xml:space="preserve">) = </w:t>
      </w:r>
      <w:r w:rsidR="0017525B" w:rsidRPr="000F7ABE">
        <w:rPr>
          <w:sz w:val="22"/>
        </w:rPr>
        <w:t xml:space="preserve">(n) </w:t>
      </w:r>
      <w:r w:rsidRPr="000F7ABE">
        <w:rPr>
          <w:sz w:val="22"/>
        </w:rPr>
        <w:t xml:space="preserve">número observaciones </w:t>
      </w:r>
      <w:r w:rsidR="0017525B" w:rsidRPr="000F7ABE">
        <w:rPr>
          <w:sz w:val="22"/>
        </w:rPr>
        <w:t xml:space="preserve">– (p) </w:t>
      </w:r>
      <w:r w:rsidRPr="000F7ABE">
        <w:rPr>
          <w:sz w:val="22"/>
        </w:rPr>
        <w:t xml:space="preserve">número predictores - 1 </w:t>
      </w:r>
    </w:p>
    <w:p w14:paraId="67D98E43" w14:textId="15064FA4" w:rsidR="005355F6" w:rsidRPr="000F7ABE" w:rsidRDefault="000076DE" w:rsidP="00EA3662">
      <w:pPr>
        <w:rPr>
          <w:sz w:val="22"/>
          <w:lang w:eastAsia="es-ES"/>
        </w:rPr>
      </w:pPr>
      <w:r w:rsidRPr="000F7ABE">
        <w:rPr>
          <w:sz w:val="22"/>
          <w:lang w:eastAsia="es-ES"/>
        </w:rPr>
        <w:t>Mientras el c</w:t>
      </w:r>
      <w:r w:rsidR="004E065C" w:rsidRPr="000F7ABE">
        <w:rPr>
          <w:sz w:val="22"/>
          <w:lang w:eastAsia="es-ES"/>
        </w:rPr>
        <w:t>oeficiente de determinación R</w:t>
      </w:r>
      <w:r w:rsidR="004E065C" w:rsidRPr="000F7ABE">
        <w:rPr>
          <w:sz w:val="22"/>
          <w:vertAlign w:val="superscript"/>
          <w:lang w:eastAsia="es-ES"/>
        </w:rPr>
        <w:t>2</w:t>
      </w:r>
      <w:r w:rsidR="004E065C" w:rsidRPr="000F7ABE">
        <w:rPr>
          <w:sz w:val="22"/>
          <w:lang w:eastAsia="es-ES"/>
        </w:rPr>
        <w:t xml:space="preserve"> (</w:t>
      </w:r>
      <w:r w:rsidR="006A253E" w:rsidRPr="000F7ABE">
        <w:rPr>
          <w:sz w:val="22"/>
        </w:rPr>
        <w:t>3</w:t>
      </w:r>
      <w:r w:rsidR="000F7ABE" w:rsidRPr="000F7ABE">
        <w:rPr>
          <w:sz w:val="22"/>
          <w:lang w:eastAsia="es-ES"/>
        </w:rPr>
        <w:t xml:space="preserve">): </w:t>
      </w:r>
    </w:p>
    <w:p w14:paraId="20339B26" w14:textId="77777777" w:rsidR="004E065C" w:rsidRPr="000F7ABE" w:rsidRDefault="00BC50C5" w:rsidP="00EA3662">
      <w:pPr>
        <w:rPr>
          <w:bCs/>
          <w:sz w:val="22"/>
        </w:rPr>
      </w:pPr>
      <m:oMath>
        <m:sSup>
          <m:sSupPr>
            <m:ctrlPr>
              <w:rPr>
                <w:rFonts w:ascii="Cambria Math" w:hAnsi="Cambria Math"/>
                <w:i/>
                <w:sz w:val="22"/>
                <w:lang w:eastAsia="es-ES"/>
              </w:rPr>
            </m:ctrlPr>
          </m:sSupPr>
          <m:e>
            <m:r>
              <w:rPr>
                <w:rFonts w:ascii="Cambria Math" w:hAnsi="Cambria Math"/>
                <w:sz w:val="22"/>
                <w:lang w:eastAsia="es-ES"/>
              </w:rPr>
              <m:t>R</m:t>
            </m:r>
          </m:e>
          <m:sup>
            <m:r>
              <w:rPr>
                <w:rFonts w:ascii="Cambria Math" w:hAnsi="Cambria Math"/>
                <w:sz w:val="22"/>
                <w:lang w:eastAsia="es-ES"/>
              </w:rPr>
              <m:t>2</m:t>
            </m:r>
          </m:sup>
        </m:sSup>
        <m:r>
          <w:rPr>
            <w:rFonts w:ascii="Cambria Math" w:hAnsi="Cambria Math"/>
            <w:sz w:val="22"/>
            <w:lang w:eastAsia="es-ES"/>
          </w:rPr>
          <m:t>=</m:t>
        </m:r>
        <m:f>
          <m:fPr>
            <m:ctrlPr>
              <w:rPr>
                <w:rFonts w:ascii="Cambria Math" w:hAnsi="Cambria Math"/>
                <w:i/>
                <w:sz w:val="22"/>
                <w:lang w:eastAsia="es-ES"/>
              </w:rPr>
            </m:ctrlPr>
          </m:fPr>
          <m:num>
            <m:r>
              <w:rPr>
                <w:rFonts w:ascii="Cambria Math" w:hAnsi="Cambria Math"/>
                <w:sz w:val="22"/>
                <w:lang w:eastAsia="es-ES"/>
              </w:rPr>
              <m:t>SCT</m:t>
            </m:r>
            <m:r>
              <w:rPr>
                <w:rFonts w:ascii="Cambria Math" w:hAnsi="Cambria Math"/>
                <w:sz w:val="22"/>
                <w:lang w:eastAsia="es-ES"/>
              </w:rPr>
              <m:t>-</m:t>
            </m:r>
            <m:r>
              <w:rPr>
                <w:rFonts w:ascii="Cambria Math" w:hAnsi="Cambria Math"/>
                <w:sz w:val="22"/>
                <w:lang w:eastAsia="es-ES"/>
              </w:rPr>
              <m:t>SCR</m:t>
            </m:r>
          </m:num>
          <m:den>
            <m:r>
              <w:rPr>
                <w:rFonts w:ascii="Cambria Math" w:hAnsi="Cambria Math"/>
                <w:sz w:val="22"/>
                <w:lang w:eastAsia="es-ES"/>
              </w:rPr>
              <m:t>SCT</m:t>
            </m:r>
          </m:den>
        </m:f>
      </m:oMath>
      <w:r w:rsidR="004E065C" w:rsidRPr="000F7ABE">
        <w:rPr>
          <w:rFonts w:eastAsiaTheme="minorEastAsia"/>
          <w:sz w:val="22"/>
          <w:lang w:eastAsia="es-ES"/>
        </w:rPr>
        <w:t xml:space="preserve">     </w:t>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4E065C" w:rsidRPr="000F7ABE">
        <w:rPr>
          <w:rFonts w:eastAsiaTheme="minorEastAsia"/>
          <w:sz w:val="22"/>
          <w:lang w:eastAsia="es-ES"/>
        </w:rPr>
        <w:tab/>
      </w:r>
      <w:r w:rsidR="006A253E" w:rsidRPr="000F7ABE">
        <w:rPr>
          <w:bCs/>
          <w:sz w:val="22"/>
        </w:rPr>
        <w:t>(3</w:t>
      </w:r>
      <w:r w:rsidR="004E065C" w:rsidRPr="000F7ABE">
        <w:rPr>
          <w:bCs/>
          <w:sz w:val="22"/>
        </w:rPr>
        <w:t xml:space="preserve">) </w:t>
      </w:r>
    </w:p>
    <w:p w14:paraId="76D3CF7A" w14:textId="77777777" w:rsidR="004E065C" w:rsidRPr="000F7ABE" w:rsidRDefault="004E065C" w:rsidP="00EA3662">
      <w:pPr>
        <w:rPr>
          <w:bCs/>
          <w:sz w:val="22"/>
        </w:rPr>
      </w:pPr>
      <w:r w:rsidRPr="000F7ABE">
        <w:rPr>
          <w:bCs/>
          <w:sz w:val="22"/>
        </w:rPr>
        <w:t>Donde:</w:t>
      </w:r>
    </w:p>
    <w:p w14:paraId="36CB70E2" w14:textId="77777777" w:rsidR="004E065C" w:rsidRPr="00B01233" w:rsidRDefault="004E065C" w:rsidP="00EA3662">
      <w:pPr>
        <w:rPr>
          <w:bCs/>
          <w:sz w:val="22"/>
        </w:rPr>
      </w:pPr>
      <w:r w:rsidRPr="000F7ABE">
        <w:rPr>
          <w:bCs/>
          <w:sz w:val="22"/>
        </w:rPr>
        <w:t>SCT es la suma de cuadrados totales y SCR es la suma de cuadrados residuales.</w:t>
      </w:r>
    </w:p>
    <w:p w14:paraId="35B667CB" w14:textId="77777777" w:rsidR="000A104F" w:rsidRPr="00B01233" w:rsidRDefault="000A104F" w:rsidP="00EA3662">
      <w:pPr>
        <w:rPr>
          <w:rFonts w:cs="Arial"/>
          <w:b/>
          <w:sz w:val="22"/>
          <w:lang w:eastAsia="es-ES"/>
        </w:rPr>
      </w:pPr>
      <w:bookmarkStart w:id="0" w:name="_Toc90219466"/>
      <w:bookmarkStart w:id="1" w:name="_Toc139784277"/>
      <w:bookmarkStart w:id="2" w:name="_Toc90219467"/>
    </w:p>
    <w:p w14:paraId="31B89A7C" w14:textId="77777777" w:rsidR="004E065C" w:rsidRPr="00B01233" w:rsidRDefault="004E065C" w:rsidP="00EA3662">
      <w:pPr>
        <w:rPr>
          <w:rFonts w:cs="Arial"/>
          <w:b/>
          <w:sz w:val="22"/>
          <w:lang w:eastAsia="es-ES"/>
        </w:rPr>
      </w:pPr>
      <w:r w:rsidRPr="00B01233">
        <w:rPr>
          <w:rFonts w:cs="Arial"/>
          <w:b/>
          <w:sz w:val="22"/>
          <w:lang w:eastAsia="es-ES"/>
        </w:rPr>
        <w:t xml:space="preserve">Diagnóstico del modelo predictivo </w:t>
      </w:r>
      <w:bookmarkEnd w:id="0"/>
      <w:bookmarkEnd w:id="1"/>
      <w:r w:rsidRPr="00B01233">
        <w:rPr>
          <w:rFonts w:cs="Arial"/>
          <w:b/>
          <w:sz w:val="22"/>
          <w:lang w:eastAsia="es-ES"/>
        </w:rPr>
        <w:t xml:space="preserve"> </w:t>
      </w:r>
    </w:p>
    <w:p w14:paraId="120B4251" w14:textId="116467A4" w:rsidR="004E065C" w:rsidRDefault="004E065C" w:rsidP="00EA3662">
      <w:pPr>
        <w:autoSpaceDE w:val="0"/>
        <w:autoSpaceDN w:val="0"/>
        <w:adjustRightInd w:val="0"/>
        <w:rPr>
          <w:sz w:val="22"/>
          <w:lang w:eastAsia="es-ES"/>
        </w:rPr>
      </w:pPr>
      <w:r w:rsidRPr="00B01233">
        <w:rPr>
          <w:sz w:val="22"/>
        </w:rPr>
        <w:t>En el d</w:t>
      </w:r>
      <w:r w:rsidR="00F555FC">
        <w:rPr>
          <w:sz w:val="22"/>
        </w:rPr>
        <w:t>iagnóstico del modelo se observó</w:t>
      </w:r>
      <w:r w:rsidRPr="00B01233">
        <w:rPr>
          <w:sz w:val="22"/>
        </w:rPr>
        <w:t xml:space="preserve"> cómo este se ajusta a los datos de entrenamiento (</w:t>
      </w:r>
      <w:proofErr w:type="spellStart"/>
      <w:r w:rsidRPr="00B01233">
        <w:rPr>
          <w:sz w:val="22"/>
          <w:lang w:eastAsia="es-ES"/>
        </w:rPr>
        <w:t>Ramasubramanian</w:t>
      </w:r>
      <w:proofErr w:type="spellEnd"/>
      <w:r w:rsidRPr="00B01233">
        <w:rPr>
          <w:sz w:val="22"/>
          <w:lang w:eastAsia="es-ES"/>
        </w:rPr>
        <w:t xml:space="preserve"> </w:t>
      </w:r>
      <w:r w:rsidRPr="00B01233">
        <w:rPr>
          <w:rFonts w:cs="MinionPro-It"/>
          <w:bCs/>
          <w:iCs/>
          <w:sz w:val="22"/>
        </w:rPr>
        <w:t>y</w:t>
      </w:r>
      <w:r w:rsidRPr="00B01233">
        <w:rPr>
          <w:sz w:val="22"/>
          <w:lang w:eastAsia="es-ES"/>
        </w:rPr>
        <w:t xml:space="preserve"> Singh, 2019)</w:t>
      </w:r>
      <w:r w:rsidR="00F555FC">
        <w:rPr>
          <w:sz w:val="22"/>
        </w:rPr>
        <w:t>. Para ello, se consideró</w:t>
      </w:r>
      <w:r w:rsidRPr="00B01233">
        <w:rPr>
          <w:sz w:val="22"/>
        </w:rPr>
        <w:t xml:space="preserve"> el </w:t>
      </w:r>
      <w:r w:rsidRPr="00B01233">
        <w:rPr>
          <w:i/>
          <w:sz w:val="22"/>
        </w:rPr>
        <w:t>p-</w:t>
      </w:r>
      <w:proofErr w:type="spellStart"/>
      <w:r w:rsidRPr="00B01233">
        <w:rPr>
          <w:i/>
          <w:sz w:val="22"/>
        </w:rPr>
        <w:t>value</w:t>
      </w:r>
      <w:proofErr w:type="spellEnd"/>
      <w:r w:rsidRPr="00B01233">
        <w:rPr>
          <w:sz w:val="22"/>
        </w:rPr>
        <w:t xml:space="preserve"> de paráme</w:t>
      </w:r>
      <w:r w:rsidR="00B0060C">
        <w:rPr>
          <w:sz w:val="22"/>
        </w:rPr>
        <w:t>tros estimados.</w:t>
      </w:r>
      <w:r w:rsidR="00F555FC">
        <w:rPr>
          <w:sz w:val="22"/>
          <w:lang w:eastAsia="es-ES"/>
        </w:rPr>
        <w:t xml:space="preserve"> </w:t>
      </w:r>
      <w:r w:rsidR="00B0060C">
        <w:rPr>
          <w:sz w:val="22"/>
          <w:lang w:eastAsia="es-ES"/>
        </w:rPr>
        <w:t>S</w:t>
      </w:r>
      <w:r w:rsidR="00F555FC">
        <w:rPr>
          <w:sz w:val="22"/>
          <w:lang w:eastAsia="es-ES"/>
        </w:rPr>
        <w:t>e recurrió</w:t>
      </w:r>
      <w:r w:rsidRPr="00B01233">
        <w:rPr>
          <w:sz w:val="22"/>
          <w:lang w:eastAsia="es-ES"/>
        </w:rPr>
        <w:t xml:space="preserve"> a</w:t>
      </w:r>
      <w:r w:rsidR="00F555FC">
        <w:rPr>
          <w:sz w:val="22"/>
          <w:lang w:eastAsia="es-ES"/>
        </w:rPr>
        <w:t>l cálculo de</w:t>
      </w:r>
      <w:r w:rsidRPr="00B01233">
        <w:rPr>
          <w:sz w:val="22"/>
          <w:lang w:eastAsia="es-ES"/>
        </w:rPr>
        <w:t xml:space="preserve"> los residuos de cada observac</w:t>
      </w:r>
      <w:r w:rsidR="00F555FC">
        <w:rPr>
          <w:sz w:val="22"/>
          <w:lang w:eastAsia="es-ES"/>
        </w:rPr>
        <w:t>ión acorde al modelo generado</w:t>
      </w:r>
      <w:r w:rsidRPr="00B01233">
        <w:rPr>
          <w:sz w:val="22"/>
          <w:lang w:eastAsia="es-ES"/>
        </w:rPr>
        <w:t>. La distribución normal de los residuos</w:t>
      </w:r>
      <w:r w:rsidRPr="00B01233">
        <w:rPr>
          <w:b/>
          <w:sz w:val="22"/>
          <w:lang w:eastAsia="es-ES"/>
        </w:rPr>
        <w:t xml:space="preserve"> </w:t>
      </w:r>
      <w:r w:rsidR="00F555FC">
        <w:rPr>
          <w:sz w:val="22"/>
          <w:lang w:eastAsia="es-ES"/>
        </w:rPr>
        <w:t>se comprobó</w:t>
      </w:r>
      <w:r w:rsidRPr="00B01233">
        <w:rPr>
          <w:sz w:val="22"/>
          <w:lang w:eastAsia="es-ES"/>
        </w:rPr>
        <w:t xml:space="preserve"> con el gráfico Q-Q y el test de </w:t>
      </w:r>
      <w:proofErr w:type="spellStart"/>
      <w:r w:rsidRPr="00B01233">
        <w:rPr>
          <w:i/>
          <w:iCs/>
          <w:sz w:val="22"/>
          <w:lang w:eastAsia="es-ES"/>
        </w:rPr>
        <w:t>Lilliefors</w:t>
      </w:r>
      <w:proofErr w:type="spellEnd"/>
      <w:r w:rsidRPr="00B01233">
        <w:rPr>
          <w:sz w:val="22"/>
          <w:lang w:eastAsia="es-ES"/>
        </w:rPr>
        <w:t>. La homocedasticidad</w:t>
      </w:r>
      <w:r w:rsidRPr="00B01233">
        <w:rPr>
          <w:b/>
          <w:sz w:val="22"/>
          <w:lang w:eastAsia="es-ES"/>
        </w:rPr>
        <w:t xml:space="preserve"> </w:t>
      </w:r>
      <w:r w:rsidR="00F555FC">
        <w:rPr>
          <w:sz w:val="22"/>
          <w:lang w:eastAsia="es-ES"/>
        </w:rPr>
        <w:t>se compro</w:t>
      </w:r>
      <w:r w:rsidRPr="00B01233">
        <w:rPr>
          <w:sz w:val="22"/>
          <w:lang w:eastAsia="es-ES"/>
        </w:rPr>
        <w:t>b</w:t>
      </w:r>
      <w:r w:rsidR="00F555FC">
        <w:rPr>
          <w:sz w:val="22"/>
          <w:lang w:eastAsia="es-ES"/>
        </w:rPr>
        <w:t>ó</w:t>
      </w:r>
      <w:r w:rsidRPr="00B01233">
        <w:rPr>
          <w:sz w:val="22"/>
          <w:lang w:eastAsia="es-ES"/>
        </w:rPr>
        <w:t xml:space="preserve"> mediante gráficos (</w:t>
      </w:r>
      <w:proofErr w:type="spellStart"/>
      <w:r w:rsidRPr="00B01233">
        <w:rPr>
          <w:i/>
          <w:sz w:val="22"/>
          <w:lang w:eastAsia="es-ES"/>
        </w:rPr>
        <w:t>scatterplot</w:t>
      </w:r>
      <w:proofErr w:type="spellEnd"/>
      <w:r w:rsidRPr="00B01233">
        <w:rPr>
          <w:sz w:val="22"/>
          <w:lang w:eastAsia="es-ES"/>
        </w:rPr>
        <w:t>) de los residuos de cada</w:t>
      </w:r>
      <w:r w:rsidR="00F555FC">
        <w:rPr>
          <w:sz w:val="22"/>
          <w:lang w:eastAsia="es-ES"/>
        </w:rPr>
        <w:t xml:space="preserve"> observación. También se recurrió</w:t>
      </w:r>
      <w:r w:rsidRPr="00B01233">
        <w:rPr>
          <w:sz w:val="22"/>
          <w:lang w:eastAsia="es-ES"/>
        </w:rPr>
        <w:t xml:space="preserve"> a contrastes de homocedasticidad, como el test de </w:t>
      </w:r>
      <w:proofErr w:type="spellStart"/>
      <w:r w:rsidRPr="00B01233">
        <w:rPr>
          <w:i/>
          <w:iCs/>
          <w:sz w:val="22"/>
          <w:lang w:eastAsia="es-ES"/>
        </w:rPr>
        <w:t>Breusch</w:t>
      </w:r>
      <w:proofErr w:type="spellEnd"/>
      <w:r w:rsidRPr="00B01233">
        <w:rPr>
          <w:i/>
          <w:iCs/>
          <w:sz w:val="22"/>
          <w:lang w:eastAsia="es-ES"/>
        </w:rPr>
        <w:t>-Pagan</w:t>
      </w:r>
      <w:r w:rsidRPr="00B01233">
        <w:rPr>
          <w:sz w:val="22"/>
        </w:rPr>
        <w:t>.</w:t>
      </w:r>
      <w:r w:rsidRPr="00B01233">
        <w:rPr>
          <w:sz w:val="22"/>
          <w:lang w:eastAsia="es-ES"/>
        </w:rPr>
        <w:t xml:space="preserve"> </w:t>
      </w:r>
      <w:r w:rsidR="00C960F9">
        <w:rPr>
          <w:sz w:val="22"/>
          <w:lang w:eastAsia="es-ES"/>
        </w:rPr>
        <w:t xml:space="preserve">Además, </w:t>
      </w:r>
      <w:r w:rsidR="00591092">
        <w:rPr>
          <w:sz w:val="22"/>
          <w:lang w:eastAsia="es-ES"/>
        </w:rPr>
        <w:t>se analizó, la existencia de</w:t>
      </w:r>
      <w:r w:rsidRPr="00B01233">
        <w:rPr>
          <w:sz w:val="22"/>
          <w:lang w:eastAsia="es-ES"/>
        </w:rPr>
        <w:t xml:space="preserve"> Valores atípicos y de Alta infl</w:t>
      </w:r>
      <w:r w:rsidR="00591092">
        <w:rPr>
          <w:sz w:val="22"/>
          <w:lang w:eastAsia="es-ES"/>
        </w:rPr>
        <w:t>uencia, los que se estudiaron</w:t>
      </w:r>
      <w:r w:rsidRPr="00B01233">
        <w:rPr>
          <w:sz w:val="22"/>
          <w:lang w:eastAsia="es-ES"/>
        </w:rPr>
        <w:t xml:space="preserve"> con detenimiento, pues pueden generar una correlación que realmente no existe, u ocultar una exis</w:t>
      </w:r>
      <w:r w:rsidR="00591092">
        <w:rPr>
          <w:sz w:val="22"/>
          <w:lang w:eastAsia="es-ES"/>
        </w:rPr>
        <w:t>tente. La independencia de los datos, también se tuvo en cuenta y</w:t>
      </w:r>
      <w:r w:rsidRPr="00B01233">
        <w:rPr>
          <w:sz w:val="22"/>
          <w:lang w:eastAsia="es-ES"/>
        </w:rPr>
        <w:t xml:space="preserve"> </w:t>
      </w:r>
      <w:r w:rsidR="00591092">
        <w:rPr>
          <w:sz w:val="22"/>
          <w:lang w:eastAsia="es-ES"/>
        </w:rPr>
        <w:t>para ello, se empleó</w:t>
      </w:r>
      <w:r w:rsidRPr="00B01233">
        <w:rPr>
          <w:sz w:val="22"/>
          <w:lang w:eastAsia="es-ES"/>
        </w:rPr>
        <w:t xml:space="preserve"> el test de </w:t>
      </w:r>
      <w:r w:rsidRPr="00B01233">
        <w:rPr>
          <w:i/>
          <w:sz w:val="22"/>
          <w:lang w:eastAsia="es-ES"/>
        </w:rPr>
        <w:t xml:space="preserve">Durbin-Watson. </w:t>
      </w:r>
      <w:r w:rsidRPr="00B01233">
        <w:rPr>
          <w:sz w:val="22"/>
          <w:lang w:eastAsia="es-ES"/>
        </w:rPr>
        <w:t>Por último,</w:t>
      </w:r>
      <w:r w:rsidR="00B0060C">
        <w:rPr>
          <w:sz w:val="22"/>
        </w:rPr>
        <w:t xml:space="preserve"> se</w:t>
      </w:r>
      <w:r w:rsidRPr="00B01233">
        <w:rPr>
          <w:sz w:val="22"/>
        </w:rPr>
        <w:t xml:space="preserve"> </w:t>
      </w:r>
      <w:r w:rsidR="00591092">
        <w:rPr>
          <w:sz w:val="22"/>
        </w:rPr>
        <w:t xml:space="preserve">consideró </w:t>
      </w:r>
      <w:r w:rsidRPr="00B01233">
        <w:rPr>
          <w:sz w:val="22"/>
        </w:rPr>
        <w:t>factor de inflación de la varianza (</w:t>
      </w:r>
      <w:r w:rsidRPr="00B01233">
        <w:rPr>
          <w:i/>
          <w:iCs/>
          <w:sz w:val="22"/>
        </w:rPr>
        <w:t>VIF</w:t>
      </w:r>
      <w:r w:rsidRPr="00B01233">
        <w:rPr>
          <w:sz w:val="22"/>
        </w:rPr>
        <w:t xml:space="preserve">), </w:t>
      </w:r>
      <w:r w:rsidR="00591092">
        <w:rPr>
          <w:sz w:val="22"/>
        </w:rPr>
        <w:t xml:space="preserve">el cual no debe </w:t>
      </w:r>
      <w:r w:rsidRPr="00B01233">
        <w:rPr>
          <w:sz w:val="22"/>
        </w:rPr>
        <w:t>excede</w:t>
      </w:r>
      <w:r w:rsidR="00591092">
        <w:rPr>
          <w:sz w:val="22"/>
        </w:rPr>
        <w:t>r</w:t>
      </w:r>
      <w:r w:rsidRPr="00B01233">
        <w:rPr>
          <w:sz w:val="22"/>
        </w:rPr>
        <w:t xml:space="preserve"> de cinco</w:t>
      </w:r>
      <w:r w:rsidR="00591092">
        <w:rPr>
          <w:sz w:val="22"/>
        </w:rPr>
        <w:t xml:space="preserve"> </w:t>
      </w:r>
      <w:r w:rsidRPr="00B01233">
        <w:rPr>
          <w:sz w:val="22"/>
        </w:rPr>
        <w:t xml:space="preserve">(James </w:t>
      </w:r>
      <w:r w:rsidRPr="00B01233">
        <w:rPr>
          <w:i/>
          <w:sz w:val="22"/>
        </w:rPr>
        <w:t>et al</w:t>
      </w:r>
      <w:r w:rsidRPr="00B01233">
        <w:rPr>
          <w:sz w:val="22"/>
        </w:rPr>
        <w:t xml:space="preserve">., 2021; </w:t>
      </w:r>
      <w:proofErr w:type="spellStart"/>
      <w:r w:rsidRPr="00B01233">
        <w:rPr>
          <w:sz w:val="22"/>
          <w:lang w:eastAsia="es-ES"/>
        </w:rPr>
        <w:t>Ramasubramanian</w:t>
      </w:r>
      <w:proofErr w:type="spellEnd"/>
      <w:r w:rsidRPr="00B01233">
        <w:rPr>
          <w:sz w:val="22"/>
          <w:lang w:eastAsia="es-ES"/>
        </w:rPr>
        <w:t xml:space="preserve"> </w:t>
      </w:r>
      <w:r w:rsidRPr="00B01233">
        <w:rPr>
          <w:rFonts w:cs="MinionPro-It"/>
          <w:bCs/>
          <w:iCs/>
          <w:sz w:val="22"/>
        </w:rPr>
        <w:t>y</w:t>
      </w:r>
      <w:r w:rsidRPr="00B01233">
        <w:rPr>
          <w:sz w:val="22"/>
          <w:lang w:eastAsia="es-ES"/>
        </w:rPr>
        <w:t xml:space="preserve"> Singh, 2019)</w:t>
      </w:r>
      <w:r w:rsidR="005355F6">
        <w:rPr>
          <w:sz w:val="22"/>
          <w:lang w:eastAsia="es-ES"/>
        </w:rPr>
        <w:t>.</w:t>
      </w:r>
    </w:p>
    <w:p w14:paraId="54FBEAE7" w14:textId="77777777" w:rsidR="005355F6" w:rsidRPr="00B01233" w:rsidRDefault="005355F6" w:rsidP="00EA3662">
      <w:pPr>
        <w:autoSpaceDE w:val="0"/>
        <w:autoSpaceDN w:val="0"/>
        <w:adjustRightInd w:val="0"/>
        <w:rPr>
          <w:sz w:val="22"/>
        </w:rPr>
      </w:pPr>
    </w:p>
    <w:p w14:paraId="5F6F72B6" w14:textId="77777777" w:rsidR="004E065C" w:rsidRPr="00B01233" w:rsidRDefault="004E065C" w:rsidP="00EA3662">
      <w:pPr>
        <w:pStyle w:val="Ttulo3"/>
        <w:spacing w:line="360" w:lineRule="auto"/>
        <w:rPr>
          <w:rFonts w:ascii="Arial" w:hAnsi="Arial" w:cs="Arial"/>
          <w:sz w:val="22"/>
          <w:szCs w:val="22"/>
        </w:rPr>
      </w:pPr>
      <w:bookmarkStart w:id="3" w:name="_Toc139784278"/>
      <w:r w:rsidRPr="00B01233">
        <w:rPr>
          <w:rFonts w:ascii="Arial" w:hAnsi="Arial" w:cs="Arial"/>
          <w:sz w:val="22"/>
          <w:szCs w:val="22"/>
        </w:rPr>
        <w:lastRenderedPageBreak/>
        <w:t>Validación de</w:t>
      </w:r>
      <w:r w:rsidR="000076DE">
        <w:rPr>
          <w:rFonts w:ascii="Arial" w:hAnsi="Arial" w:cs="Arial"/>
          <w:sz w:val="22"/>
          <w:szCs w:val="22"/>
        </w:rPr>
        <w:t>l modelo</w:t>
      </w:r>
      <w:r w:rsidRPr="00B01233">
        <w:rPr>
          <w:rFonts w:ascii="Arial" w:hAnsi="Arial" w:cs="Arial"/>
          <w:sz w:val="22"/>
          <w:szCs w:val="22"/>
        </w:rPr>
        <w:t xml:space="preserve"> de regresión</w:t>
      </w:r>
      <w:bookmarkEnd w:id="2"/>
      <w:bookmarkEnd w:id="3"/>
    </w:p>
    <w:p w14:paraId="5190A54E" w14:textId="24B4CFA8" w:rsidR="004E065C" w:rsidRPr="00B01233" w:rsidRDefault="004E065C" w:rsidP="00EA3662">
      <w:pPr>
        <w:rPr>
          <w:sz w:val="22"/>
        </w:rPr>
      </w:pPr>
      <w:r w:rsidRPr="00B01233">
        <w:rPr>
          <w:sz w:val="22"/>
        </w:rPr>
        <w:t xml:space="preserve">El término validación cruzada corresponde con una estrategia para estimar el error de predicción del modelo. Para ello, a la base de datos de 340 observaciones, se </w:t>
      </w:r>
      <w:r w:rsidR="00B0060C">
        <w:rPr>
          <w:sz w:val="22"/>
        </w:rPr>
        <w:t xml:space="preserve">le </w:t>
      </w:r>
      <w:r w:rsidRPr="00B01233">
        <w:rPr>
          <w:sz w:val="22"/>
        </w:rPr>
        <w:t xml:space="preserve">extraen aleatoriamente 200 datos </w:t>
      </w:r>
      <w:r w:rsidR="00B0060C">
        <w:rPr>
          <w:sz w:val="22"/>
        </w:rPr>
        <w:t xml:space="preserve">para el </w:t>
      </w:r>
      <w:r w:rsidRPr="00B01233">
        <w:rPr>
          <w:sz w:val="22"/>
        </w:rPr>
        <w:t>entrenamiento (60 % de los datos) del modelo y el resto (40 %) para su validación y estimación del error de predicción. Al tratarse de</w:t>
      </w:r>
      <w:r w:rsidR="00B0060C">
        <w:rPr>
          <w:sz w:val="22"/>
        </w:rPr>
        <w:t xml:space="preserve"> una variable continua se empleó</w:t>
      </w:r>
      <w:r w:rsidRPr="00B01233">
        <w:rPr>
          <w:sz w:val="22"/>
        </w:rPr>
        <w:t xml:space="preserve"> como medida</w:t>
      </w:r>
      <w:r w:rsidR="000076DE">
        <w:rPr>
          <w:sz w:val="22"/>
        </w:rPr>
        <w:t>,</w:t>
      </w:r>
      <w:r w:rsidRPr="00B01233">
        <w:rPr>
          <w:sz w:val="22"/>
        </w:rPr>
        <w:t xml:space="preserve"> los errores medios al cuadrado (MSE), que consiste en la división del RSS entre el n</w:t>
      </w:r>
      <w:r w:rsidR="006A253E">
        <w:rPr>
          <w:sz w:val="22"/>
        </w:rPr>
        <w:t>úmero de observaciones (n) (4</w:t>
      </w:r>
      <w:r w:rsidRPr="00B01233">
        <w:rPr>
          <w:sz w:val="22"/>
        </w:rPr>
        <w:t xml:space="preserve">): </w:t>
      </w:r>
    </w:p>
    <w:p w14:paraId="35227E79" w14:textId="77777777" w:rsidR="004E065C" w:rsidRPr="00B01233" w:rsidRDefault="004E065C" w:rsidP="00EA3662">
      <w:pPr>
        <w:rPr>
          <w:sz w:val="22"/>
        </w:rPr>
      </w:pPr>
      <m:oMath>
        <m:r>
          <w:rPr>
            <w:rFonts w:ascii="Cambria Math" w:hAnsi="Cambria Math" w:cs="Cambria Math"/>
            <w:sz w:val="22"/>
          </w:rPr>
          <m:t>MSE</m:t>
        </m:r>
        <m:r>
          <w:rPr>
            <w:rFonts w:ascii="Cambria Math" w:hAnsi="Cambria Math"/>
            <w:sz w:val="22"/>
          </w:rPr>
          <m:t>=</m:t>
        </m:r>
        <m:f>
          <m:fPr>
            <m:ctrlPr>
              <w:rPr>
                <w:rFonts w:ascii="Cambria Math" w:hAnsi="Cambria Math"/>
                <w:i/>
                <w:sz w:val="22"/>
              </w:rPr>
            </m:ctrlPr>
          </m:fPr>
          <m:num>
            <m:r>
              <w:rPr>
                <w:rFonts w:ascii="Cambria Math" w:hAnsi="Cambria Math"/>
                <w:sz w:val="22"/>
              </w:rPr>
              <m:t>RSS</m:t>
            </m:r>
          </m:num>
          <m:den>
            <m:r>
              <w:rPr>
                <w:rFonts w:ascii="Cambria Math" w:hAnsi="Cambria Math"/>
                <w:sz w:val="22"/>
              </w:rPr>
              <m:t>n</m:t>
            </m:r>
          </m:den>
        </m:f>
      </m:oMath>
      <w:r w:rsidR="006A253E">
        <w:rPr>
          <w:sz w:val="22"/>
        </w:rPr>
        <w:t xml:space="preserve"> </w:t>
      </w:r>
      <w:r w:rsidR="006A253E">
        <w:rPr>
          <w:sz w:val="22"/>
        </w:rPr>
        <w:tab/>
      </w:r>
      <w:r w:rsidR="006A253E">
        <w:rPr>
          <w:sz w:val="22"/>
        </w:rPr>
        <w:tab/>
      </w:r>
      <w:r w:rsidR="006A253E">
        <w:rPr>
          <w:sz w:val="22"/>
        </w:rPr>
        <w:tab/>
      </w:r>
      <w:r w:rsidR="006A253E">
        <w:rPr>
          <w:sz w:val="22"/>
        </w:rPr>
        <w:tab/>
      </w:r>
      <w:r w:rsidR="006A253E">
        <w:rPr>
          <w:sz w:val="22"/>
        </w:rPr>
        <w:tab/>
      </w:r>
      <w:r w:rsidR="006A253E">
        <w:rPr>
          <w:sz w:val="22"/>
        </w:rPr>
        <w:tab/>
      </w:r>
      <w:r w:rsidR="006A253E">
        <w:rPr>
          <w:sz w:val="22"/>
        </w:rPr>
        <w:tab/>
      </w:r>
      <w:r w:rsidR="006A253E">
        <w:rPr>
          <w:sz w:val="22"/>
        </w:rPr>
        <w:tab/>
      </w:r>
      <w:r w:rsidR="006A253E">
        <w:rPr>
          <w:sz w:val="22"/>
        </w:rPr>
        <w:tab/>
        <w:t>(4</w:t>
      </w:r>
      <w:r w:rsidRPr="00B01233">
        <w:rPr>
          <w:sz w:val="22"/>
        </w:rPr>
        <w:t xml:space="preserve">) </w:t>
      </w:r>
    </w:p>
    <w:p w14:paraId="075AB955" w14:textId="77777777" w:rsidR="004E065C" w:rsidRDefault="004E065C" w:rsidP="00EA3662">
      <w:pPr>
        <w:rPr>
          <w:sz w:val="22"/>
        </w:rPr>
      </w:pPr>
      <w:r w:rsidRPr="00B01233">
        <w:rPr>
          <w:sz w:val="22"/>
        </w:rPr>
        <w:t>Una de las principales desventajas de la validación simple</w:t>
      </w:r>
      <w:r w:rsidRPr="00B01233">
        <w:rPr>
          <w:b/>
          <w:sz w:val="22"/>
        </w:rPr>
        <w:t xml:space="preserve"> </w:t>
      </w:r>
      <w:r w:rsidRPr="00B01233">
        <w:rPr>
          <w:sz w:val="22"/>
        </w:rPr>
        <w:t xml:space="preserve">es que la estimación del error varía en dependencia de cómo se hayan repartido los datos, entre entrenamiento y validación (James </w:t>
      </w:r>
      <w:r w:rsidRPr="00B01233">
        <w:rPr>
          <w:i/>
          <w:sz w:val="22"/>
        </w:rPr>
        <w:t>et al</w:t>
      </w:r>
      <w:r w:rsidRPr="00B01233">
        <w:rPr>
          <w:sz w:val="22"/>
        </w:rPr>
        <w:t>., 2021). Sin embargo, lo que no se debe obviar es la necesidad de comprobar el modelo con datos que no formen parte del entrenamiento, para verificar el comportamiento ante nuevas informaciones.</w:t>
      </w:r>
    </w:p>
    <w:p w14:paraId="3E84AF65" w14:textId="77777777" w:rsidR="005355F6" w:rsidRPr="00B01233" w:rsidRDefault="005355F6" w:rsidP="00EA3662">
      <w:pPr>
        <w:rPr>
          <w:sz w:val="22"/>
        </w:rPr>
      </w:pPr>
    </w:p>
    <w:p w14:paraId="03499468" w14:textId="1931E33C" w:rsidR="004E065C" w:rsidRPr="00B01233" w:rsidRDefault="004E065C" w:rsidP="00EA3662">
      <w:pPr>
        <w:pStyle w:val="Ttulo3"/>
        <w:spacing w:line="360" w:lineRule="auto"/>
        <w:rPr>
          <w:rFonts w:ascii="Arial" w:hAnsi="Arial" w:cs="Arial"/>
          <w:sz w:val="22"/>
          <w:szCs w:val="22"/>
          <w:lang w:eastAsia="es-ES"/>
        </w:rPr>
      </w:pPr>
      <w:r w:rsidRPr="00B01233">
        <w:rPr>
          <w:rFonts w:ascii="Arial" w:hAnsi="Arial" w:cs="Arial"/>
          <w:sz w:val="22"/>
          <w:szCs w:val="22"/>
          <w:lang w:eastAsia="es-ES"/>
        </w:rPr>
        <w:t xml:space="preserve">Perjuicio en el proceso extracción azucarera </w:t>
      </w:r>
    </w:p>
    <w:p w14:paraId="38CEFDAC" w14:textId="77777777" w:rsidR="00E007AB" w:rsidRDefault="004E065C" w:rsidP="00EA3662">
      <w:pPr>
        <w:rPr>
          <w:sz w:val="22"/>
          <w:lang w:eastAsia="es-ES"/>
        </w:rPr>
      </w:pPr>
      <w:r w:rsidRPr="00B01233">
        <w:rPr>
          <w:sz w:val="22"/>
          <w:lang w:eastAsia="es-ES"/>
        </w:rPr>
        <w:t xml:space="preserve">El distanciamiento antes mencionado, respecto a la variabilidad temporal de la provisión azucarera, se relaciona con las diferencias entre el potencial azucarero del cultivo de la caña de azúcar (expresado como RPC) y la producción obtenida (expresada como azúcar B-96). Al poseer repetidas mediciones en el tiempo, junto a factores correlacionados, se puede realizar un análisis econométrico y probar el ajuste a un modelo de regresión (García </w:t>
      </w:r>
      <w:r w:rsidRPr="00B01233">
        <w:rPr>
          <w:i/>
          <w:sz w:val="22"/>
          <w:lang w:eastAsia="es-ES"/>
        </w:rPr>
        <w:t>et al</w:t>
      </w:r>
      <w:r w:rsidR="00BA2CFF">
        <w:rPr>
          <w:sz w:val="22"/>
          <w:lang w:eastAsia="es-ES"/>
        </w:rPr>
        <w:t>., 2022)</w:t>
      </w:r>
      <w:r w:rsidRPr="00B01233">
        <w:rPr>
          <w:sz w:val="22"/>
          <w:lang w:eastAsia="es-ES"/>
        </w:rPr>
        <w:t xml:space="preserve">. El cálculo del perjuicio </w:t>
      </w:r>
      <w:r w:rsidR="006A253E">
        <w:rPr>
          <w:sz w:val="22"/>
          <w:lang w:eastAsia="es-ES"/>
        </w:rPr>
        <w:t xml:space="preserve">y las ecuaciones utilizadas (5 a </w:t>
      </w:r>
      <w:r w:rsidR="00BA2CFF">
        <w:rPr>
          <w:sz w:val="22"/>
          <w:lang w:eastAsia="es-ES"/>
        </w:rPr>
        <w:t>6) en este</w:t>
      </w:r>
      <w:r w:rsidRPr="00B01233">
        <w:rPr>
          <w:sz w:val="22"/>
          <w:lang w:eastAsia="es-ES"/>
        </w:rPr>
        <w:t xml:space="preserve"> caso</w:t>
      </w:r>
      <w:r w:rsidR="00BA2CFF">
        <w:rPr>
          <w:sz w:val="22"/>
          <w:lang w:eastAsia="es-ES"/>
        </w:rPr>
        <w:t>,</w:t>
      </w:r>
      <w:r w:rsidRPr="00B01233">
        <w:rPr>
          <w:sz w:val="22"/>
          <w:lang w:eastAsia="es-ES"/>
        </w:rPr>
        <w:t xml:space="preserve"> se describe a continuación: </w:t>
      </w:r>
    </w:p>
    <w:p w14:paraId="77E6898C" w14:textId="77777777" w:rsidR="004E065C" w:rsidRPr="00B01233" w:rsidRDefault="004E065C" w:rsidP="00EA3662">
      <w:pPr>
        <w:rPr>
          <w:sz w:val="22"/>
          <w:lang w:eastAsia="es-ES"/>
        </w:rPr>
      </w:pPr>
      <w:r w:rsidRPr="00B01233">
        <w:rPr>
          <w:sz w:val="22"/>
          <w:lang w:eastAsia="es-ES"/>
        </w:rPr>
        <w:t xml:space="preserve"> </w:t>
      </w:r>
      <m:oMath>
        <m:r>
          <w:rPr>
            <w:rFonts w:ascii="Cambria Math" w:hAnsi="Cambria Math"/>
            <w:sz w:val="22"/>
            <w:lang w:eastAsia="es-ES"/>
          </w:rPr>
          <m:t>DPRE=</m:t>
        </m:r>
        <m:sSub>
          <m:sSubPr>
            <m:ctrlPr>
              <w:rPr>
                <w:rFonts w:ascii="Cambria Math" w:hAnsi="Cambria Math"/>
                <w:i/>
                <w:iCs/>
                <w:sz w:val="22"/>
                <w:lang w:eastAsia="es-ES"/>
              </w:rPr>
            </m:ctrlPr>
          </m:sSubPr>
          <m:e>
            <m:r>
              <w:rPr>
                <w:rFonts w:ascii="Cambria Math" w:hAnsi="Cambria Math"/>
                <w:sz w:val="22"/>
                <w:lang w:eastAsia="es-ES"/>
              </w:rPr>
              <m:t>(X</m:t>
            </m:r>
          </m:e>
          <m:sub>
            <m:r>
              <w:rPr>
                <w:rFonts w:ascii="Cambria Math" w:hAnsi="Cambria Math"/>
                <w:sz w:val="22"/>
                <w:lang w:eastAsia="es-ES"/>
              </w:rPr>
              <m:t>i</m:t>
            </m:r>
          </m:sub>
        </m:sSub>
        <m:r>
          <w:rPr>
            <w:rFonts w:ascii="Cambria Math" w:hAnsi="Cambria Math"/>
            <w:sz w:val="22"/>
            <w:lang w:eastAsia="es-ES"/>
          </w:rPr>
          <m:t>-</m:t>
        </m:r>
        <m:sSub>
          <m:sSubPr>
            <m:ctrlPr>
              <w:rPr>
                <w:rFonts w:ascii="Cambria Math" w:hAnsi="Cambria Math"/>
                <w:i/>
                <w:iCs/>
                <w:sz w:val="22"/>
                <w:lang w:eastAsia="es-ES"/>
              </w:rPr>
            </m:ctrlPr>
          </m:sSubPr>
          <m:e>
            <m:r>
              <w:rPr>
                <w:rFonts w:ascii="Cambria Math" w:hAnsi="Cambria Math"/>
                <w:sz w:val="22"/>
                <w:lang w:eastAsia="es-ES"/>
              </w:rPr>
              <m:t>X</m:t>
            </m:r>
          </m:e>
          <m:sub>
            <m:r>
              <w:rPr>
                <w:rFonts w:ascii="Cambria Math" w:hAnsi="Cambria Math"/>
                <w:sz w:val="22"/>
                <w:lang w:eastAsia="es-ES"/>
              </w:rPr>
              <m:t>R</m:t>
            </m:r>
          </m:sub>
        </m:sSub>
        <m:r>
          <w:rPr>
            <w:rFonts w:ascii="Cambria Math" w:hAnsi="Cambria Math"/>
            <w:sz w:val="22"/>
            <w:lang w:eastAsia="es-ES"/>
          </w:rPr>
          <m:t>)</m:t>
        </m:r>
      </m:oMath>
      <w:r w:rsidR="006A253E">
        <w:rPr>
          <w:rFonts w:eastAsiaTheme="minorEastAsia"/>
          <w:iCs/>
          <w:sz w:val="22"/>
          <w:lang w:eastAsia="es-ES"/>
        </w:rPr>
        <w:t xml:space="preserve">                     </w:t>
      </w:r>
      <w:r w:rsidR="006A253E">
        <w:rPr>
          <w:rFonts w:eastAsiaTheme="minorEastAsia"/>
          <w:iCs/>
          <w:sz w:val="22"/>
          <w:lang w:eastAsia="es-ES"/>
        </w:rPr>
        <w:tab/>
      </w:r>
      <w:r w:rsidR="006A253E">
        <w:rPr>
          <w:rFonts w:eastAsiaTheme="minorEastAsia"/>
          <w:iCs/>
          <w:sz w:val="22"/>
          <w:lang w:eastAsia="es-ES"/>
        </w:rPr>
        <w:tab/>
      </w:r>
      <w:r w:rsidR="006A253E">
        <w:rPr>
          <w:rFonts w:eastAsiaTheme="minorEastAsia"/>
          <w:iCs/>
          <w:sz w:val="22"/>
          <w:lang w:eastAsia="es-ES"/>
        </w:rPr>
        <w:tab/>
      </w:r>
      <w:r w:rsidR="006A253E">
        <w:rPr>
          <w:rFonts w:eastAsiaTheme="minorEastAsia"/>
          <w:iCs/>
          <w:sz w:val="22"/>
          <w:lang w:eastAsia="es-ES"/>
        </w:rPr>
        <w:tab/>
      </w:r>
      <w:r w:rsidR="006A253E">
        <w:rPr>
          <w:rFonts w:eastAsiaTheme="minorEastAsia"/>
          <w:iCs/>
          <w:sz w:val="22"/>
          <w:lang w:eastAsia="es-ES"/>
        </w:rPr>
        <w:tab/>
      </w:r>
      <w:r w:rsidR="006A253E">
        <w:rPr>
          <w:rFonts w:eastAsiaTheme="minorEastAsia"/>
          <w:iCs/>
          <w:sz w:val="22"/>
          <w:lang w:eastAsia="es-ES"/>
        </w:rPr>
        <w:tab/>
        <w:t>(</w:t>
      </w:r>
      <w:r w:rsidRPr="00B01233">
        <w:rPr>
          <w:rFonts w:eastAsiaTheme="minorEastAsia"/>
          <w:iCs/>
          <w:sz w:val="22"/>
          <w:lang w:eastAsia="es-ES"/>
        </w:rPr>
        <w:t>5)</w:t>
      </w:r>
    </w:p>
    <w:p w14:paraId="6237BD70" w14:textId="77777777" w:rsidR="004E065C" w:rsidRPr="00B01233" w:rsidRDefault="004E065C" w:rsidP="00EA3662">
      <w:pPr>
        <w:rPr>
          <w:sz w:val="22"/>
          <w:lang w:eastAsia="es-ES"/>
        </w:rPr>
      </w:pPr>
      <w:r w:rsidRPr="00B01233">
        <w:rPr>
          <w:sz w:val="22"/>
          <w:lang w:eastAsia="es-ES"/>
        </w:rPr>
        <w:t xml:space="preserve">Donde </w:t>
      </w:r>
    </w:p>
    <w:p w14:paraId="0F6B5C04" w14:textId="77777777" w:rsidR="004E065C" w:rsidRPr="00B01233" w:rsidRDefault="004E065C" w:rsidP="00EA3662">
      <w:pPr>
        <w:rPr>
          <w:sz w:val="22"/>
          <w:lang w:eastAsia="es-ES"/>
        </w:rPr>
      </w:pPr>
      <w:r w:rsidRPr="00B01233">
        <w:rPr>
          <w:sz w:val="22"/>
          <w:lang w:eastAsia="es-ES"/>
        </w:rPr>
        <w:t>DPRE: Diferencia entre potencial de provisión de azúcar y producción real (t a</w:t>
      </w:r>
      <w:r w:rsidRPr="00B01233">
        <w:rPr>
          <w:sz w:val="22"/>
          <w:vertAlign w:val="superscript"/>
          <w:lang w:eastAsia="es-ES"/>
        </w:rPr>
        <w:t>-1</w:t>
      </w:r>
      <w:r w:rsidRPr="00B01233">
        <w:rPr>
          <w:sz w:val="22"/>
          <w:lang w:eastAsia="es-ES"/>
        </w:rPr>
        <w:t xml:space="preserve">) </w:t>
      </w:r>
    </w:p>
    <w:p w14:paraId="24B5AF44" w14:textId="77777777" w:rsidR="004E065C" w:rsidRDefault="004E065C" w:rsidP="00EA3662">
      <w:pPr>
        <w:rPr>
          <w:sz w:val="22"/>
          <w:lang w:eastAsia="es-ES"/>
        </w:rPr>
      </w:pPr>
      <w:r w:rsidRPr="00B01233">
        <w:rPr>
          <w:sz w:val="22"/>
          <w:lang w:eastAsia="es-ES"/>
        </w:rPr>
        <w:t>X</w:t>
      </w:r>
      <w:r w:rsidRPr="00B01233">
        <w:rPr>
          <w:sz w:val="22"/>
          <w:vertAlign w:val="subscript"/>
          <w:lang w:eastAsia="es-ES"/>
        </w:rPr>
        <w:t>i</w:t>
      </w:r>
      <w:r w:rsidRPr="00B01233">
        <w:rPr>
          <w:sz w:val="22"/>
          <w:lang w:eastAsia="es-ES"/>
        </w:rPr>
        <w:t>: Es el Potencial azucarero y X</w:t>
      </w:r>
      <w:r w:rsidRPr="00B01233">
        <w:rPr>
          <w:sz w:val="22"/>
          <w:vertAlign w:val="subscript"/>
          <w:lang w:eastAsia="es-ES"/>
        </w:rPr>
        <w:t>R</w:t>
      </w:r>
      <w:r w:rsidRPr="00B01233">
        <w:rPr>
          <w:sz w:val="22"/>
          <w:lang w:eastAsia="es-ES"/>
        </w:rPr>
        <w:t xml:space="preserve">: Es el azúcar B-96 </w:t>
      </w:r>
    </w:p>
    <w:p w14:paraId="691184D0" w14:textId="77777777" w:rsidR="004E065C" w:rsidRPr="00B01233" w:rsidRDefault="00BC50C5" w:rsidP="00EA3662">
      <w:pPr>
        <w:rPr>
          <w:sz w:val="22"/>
          <w:lang w:eastAsia="es-ES"/>
        </w:rPr>
      </w:pPr>
      <m:oMath>
        <m:sSub>
          <m:sSubPr>
            <m:ctrlPr>
              <w:rPr>
                <w:rFonts w:ascii="Cambria Math" w:hAnsi="Cambria Math"/>
                <w:i/>
                <w:sz w:val="22"/>
                <w:lang w:eastAsia="es-ES"/>
              </w:rPr>
            </m:ctrlPr>
          </m:sSubPr>
          <m:e>
            <m:r>
              <w:rPr>
                <w:rFonts w:ascii="Cambria Math" w:hAnsi="Cambria Math"/>
                <w:sz w:val="22"/>
                <w:lang w:eastAsia="es-ES"/>
              </w:rPr>
              <m:t>Potencial</m:t>
            </m:r>
            <m:r>
              <w:rPr>
                <w:rFonts w:ascii="Cambria Math" w:hAnsi="Cambria Math"/>
                <w:sz w:val="22"/>
                <w:lang w:eastAsia="es-ES"/>
              </w:rPr>
              <m:t xml:space="preserve"> (</m:t>
            </m:r>
            <m:r>
              <w:rPr>
                <w:rFonts w:ascii="Cambria Math" w:hAnsi="Cambria Math"/>
                <w:sz w:val="22"/>
                <w:lang w:eastAsia="es-ES"/>
              </w:rPr>
              <m:t>X</m:t>
            </m:r>
          </m:e>
          <m:sub>
            <m:r>
              <w:rPr>
                <w:rFonts w:ascii="Cambria Math" w:hAnsi="Cambria Math"/>
                <w:sz w:val="22"/>
                <w:lang w:eastAsia="es-ES"/>
              </w:rPr>
              <m:t>i</m:t>
            </m:r>
          </m:sub>
        </m:sSub>
        <m:r>
          <w:rPr>
            <w:rFonts w:ascii="Cambria Math" w:hAnsi="Cambria Math"/>
            <w:sz w:val="22"/>
            <w:lang w:eastAsia="es-ES"/>
          </w:rPr>
          <m:t>)=</m:t>
        </m:r>
        <m:r>
          <w:rPr>
            <w:rFonts w:ascii="Cambria Math" w:hAnsi="Cambria Math"/>
            <w:sz w:val="22"/>
            <w:lang w:eastAsia="es-ES"/>
          </w:rPr>
          <m:t>Cmi</m:t>
        </m:r>
        <m:r>
          <w:rPr>
            <w:rFonts w:ascii="Cambria Math" w:hAnsi="Cambria Math"/>
            <w:sz w:val="22"/>
            <w:lang w:eastAsia="es-ES"/>
          </w:rPr>
          <m:t>*</m:t>
        </m:r>
        <m:f>
          <m:fPr>
            <m:ctrlPr>
              <w:rPr>
                <w:rFonts w:ascii="Cambria Math" w:hAnsi="Cambria Math"/>
                <w:i/>
                <w:sz w:val="22"/>
                <w:lang w:eastAsia="es-ES"/>
              </w:rPr>
            </m:ctrlPr>
          </m:fPr>
          <m:num>
            <m:r>
              <w:rPr>
                <w:rFonts w:ascii="Cambria Math" w:hAnsi="Cambria Math"/>
                <w:sz w:val="22"/>
                <w:lang w:eastAsia="es-ES"/>
              </w:rPr>
              <m:t>RPC</m:t>
            </m:r>
          </m:num>
          <m:den>
            <m:r>
              <w:rPr>
                <w:rFonts w:ascii="Cambria Math" w:hAnsi="Cambria Math"/>
                <w:sz w:val="22"/>
                <w:lang w:eastAsia="es-ES"/>
              </w:rPr>
              <m:t>100</m:t>
            </m:r>
          </m:den>
        </m:f>
      </m:oMath>
      <w:r w:rsidR="004E065C" w:rsidRPr="00B01233">
        <w:rPr>
          <w:rFonts w:eastAsiaTheme="minorEastAsia"/>
          <w:sz w:val="22"/>
          <w:lang w:eastAsia="es-ES"/>
        </w:rPr>
        <w:t xml:space="preserve">            </w:t>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6A253E">
        <w:rPr>
          <w:rFonts w:eastAsiaTheme="minorEastAsia"/>
          <w:sz w:val="22"/>
        </w:rPr>
        <w:t>(</w:t>
      </w:r>
      <w:r w:rsidR="004E065C" w:rsidRPr="00B01233">
        <w:rPr>
          <w:rFonts w:eastAsiaTheme="minorEastAsia"/>
          <w:sz w:val="22"/>
        </w:rPr>
        <w:t>6)</w:t>
      </w:r>
    </w:p>
    <w:p w14:paraId="602119D8" w14:textId="77777777" w:rsidR="004E065C" w:rsidRPr="00B01233" w:rsidRDefault="004E065C" w:rsidP="00EA3662">
      <w:pPr>
        <w:rPr>
          <w:sz w:val="22"/>
          <w:lang w:eastAsia="es-ES"/>
        </w:rPr>
      </w:pPr>
      <w:proofErr w:type="spellStart"/>
      <w:r w:rsidRPr="00B01233">
        <w:rPr>
          <w:sz w:val="22"/>
          <w:lang w:eastAsia="es-ES"/>
        </w:rPr>
        <w:t>Cm</w:t>
      </w:r>
      <w:r w:rsidRPr="00B01233">
        <w:rPr>
          <w:sz w:val="22"/>
          <w:vertAlign w:val="subscript"/>
          <w:lang w:eastAsia="es-ES"/>
        </w:rPr>
        <w:t>i</w:t>
      </w:r>
      <w:proofErr w:type="spellEnd"/>
      <w:r w:rsidRPr="00B01233">
        <w:rPr>
          <w:sz w:val="22"/>
          <w:lang w:eastAsia="es-ES"/>
        </w:rPr>
        <w:t>: Caña de azúcar molida (t)</w:t>
      </w:r>
    </w:p>
    <w:p w14:paraId="70E95E17" w14:textId="77777777" w:rsidR="004E065C" w:rsidRDefault="004E065C" w:rsidP="00EA3662">
      <w:pPr>
        <w:rPr>
          <w:sz w:val="22"/>
          <w:lang w:eastAsia="es-ES"/>
        </w:rPr>
      </w:pPr>
      <w:r w:rsidRPr="00B01233">
        <w:rPr>
          <w:sz w:val="22"/>
          <w:lang w:eastAsia="es-ES"/>
        </w:rPr>
        <w:t>RPC: Rendimiento potencial en caña (%)</w:t>
      </w:r>
    </w:p>
    <w:p w14:paraId="43CB8467" w14:textId="77777777" w:rsidR="004E065C" w:rsidRPr="00B01233" w:rsidRDefault="00BC50C5" w:rsidP="00EA3662">
      <w:pPr>
        <w:rPr>
          <w:sz w:val="22"/>
          <w:lang w:eastAsia="es-ES"/>
        </w:rPr>
      </w:pPr>
      <m:oMath>
        <m:sSub>
          <m:sSubPr>
            <m:ctrlPr>
              <w:rPr>
                <w:rFonts w:ascii="Cambria Math" w:hAnsi="Cambria Math"/>
                <w:i/>
                <w:sz w:val="22"/>
                <w:lang w:eastAsia="es-ES"/>
              </w:rPr>
            </m:ctrlPr>
          </m:sSubPr>
          <m:e>
            <m:r>
              <m:rPr>
                <m:sty m:val="p"/>
              </m:rPr>
              <w:rPr>
                <w:rFonts w:ascii="Cambria Math" w:hAnsi="Cambria Math"/>
                <w:sz w:val="22"/>
                <w:lang w:eastAsia="es-ES"/>
              </w:rPr>
              <m:t xml:space="preserve">Azúcar B-96 </m:t>
            </m:r>
            <m:r>
              <w:rPr>
                <w:rFonts w:ascii="Cambria Math" w:hAnsi="Cambria Math"/>
                <w:sz w:val="22"/>
                <w:lang w:eastAsia="es-ES"/>
              </w:rPr>
              <m:t xml:space="preserve"> (</m:t>
            </m:r>
            <m:r>
              <w:rPr>
                <w:rFonts w:ascii="Cambria Math" w:hAnsi="Cambria Math"/>
                <w:sz w:val="22"/>
                <w:lang w:eastAsia="es-ES"/>
              </w:rPr>
              <m:t>X</m:t>
            </m:r>
          </m:e>
          <m:sub>
            <m:r>
              <w:rPr>
                <w:rFonts w:ascii="Cambria Math" w:hAnsi="Cambria Math"/>
                <w:sz w:val="22"/>
                <w:lang w:eastAsia="es-ES"/>
              </w:rPr>
              <m:t>R</m:t>
            </m:r>
          </m:sub>
        </m:sSub>
        <m:r>
          <w:rPr>
            <w:rFonts w:ascii="Cambria Math" w:hAnsi="Cambria Math"/>
            <w:sz w:val="22"/>
            <w:lang w:eastAsia="es-ES"/>
          </w:rPr>
          <m:t>)=</m:t>
        </m:r>
        <m:r>
          <w:rPr>
            <w:rFonts w:ascii="Cambria Math" w:hAnsi="Cambria Math"/>
            <w:sz w:val="22"/>
            <w:lang w:eastAsia="es-ES"/>
          </w:rPr>
          <m:t>Cmi</m:t>
        </m:r>
        <m:r>
          <w:rPr>
            <w:rFonts w:ascii="Cambria Math" w:hAnsi="Cambria Math"/>
            <w:sz w:val="22"/>
            <w:lang w:eastAsia="es-ES"/>
          </w:rPr>
          <m:t>*</m:t>
        </m:r>
        <m:f>
          <m:fPr>
            <m:ctrlPr>
              <w:rPr>
                <w:rFonts w:ascii="Cambria Math" w:hAnsi="Cambria Math"/>
                <w:i/>
                <w:sz w:val="22"/>
                <w:lang w:eastAsia="es-ES"/>
              </w:rPr>
            </m:ctrlPr>
          </m:fPr>
          <m:num>
            <m:r>
              <w:rPr>
                <w:rFonts w:ascii="Cambria Math" w:hAnsi="Cambria Math"/>
                <w:sz w:val="22"/>
                <w:lang w:eastAsia="es-ES"/>
              </w:rPr>
              <m:t>RB</m:t>
            </m:r>
            <m:r>
              <w:rPr>
                <w:rFonts w:ascii="Cambria Math" w:hAnsi="Cambria Math"/>
                <w:sz w:val="22"/>
                <w:lang w:eastAsia="es-ES"/>
              </w:rPr>
              <m:t>-</m:t>
            </m:r>
            <m:r>
              <w:rPr>
                <w:rFonts w:ascii="Cambria Math" w:hAnsi="Cambria Math"/>
                <w:sz w:val="22"/>
                <w:lang w:eastAsia="es-ES"/>
              </w:rPr>
              <m:t>96</m:t>
            </m:r>
          </m:num>
          <m:den>
            <m:r>
              <w:rPr>
                <w:rFonts w:ascii="Cambria Math" w:hAnsi="Cambria Math"/>
                <w:sz w:val="22"/>
                <w:lang w:eastAsia="es-ES"/>
              </w:rPr>
              <m:t>100</m:t>
            </m:r>
          </m:den>
        </m:f>
      </m:oMath>
      <w:r w:rsidR="004E065C" w:rsidRPr="00B01233">
        <w:rPr>
          <w:rFonts w:eastAsiaTheme="minorEastAsia"/>
          <w:sz w:val="22"/>
          <w:lang w:eastAsia="es-ES"/>
        </w:rPr>
        <w:t xml:space="preserve">          </w:t>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4E065C" w:rsidRPr="00B01233">
        <w:rPr>
          <w:rFonts w:eastAsiaTheme="minorEastAsia"/>
          <w:sz w:val="22"/>
          <w:lang w:eastAsia="es-ES"/>
        </w:rPr>
        <w:tab/>
      </w:r>
      <w:r w:rsidR="006A253E">
        <w:rPr>
          <w:rFonts w:eastAsiaTheme="minorEastAsia"/>
          <w:sz w:val="22"/>
        </w:rPr>
        <w:t>(</w:t>
      </w:r>
      <w:r w:rsidR="004E065C" w:rsidRPr="00B01233">
        <w:rPr>
          <w:rFonts w:eastAsiaTheme="minorEastAsia"/>
          <w:sz w:val="22"/>
        </w:rPr>
        <w:t>7)</w:t>
      </w:r>
    </w:p>
    <w:p w14:paraId="71A33A8F" w14:textId="77777777" w:rsidR="004E065C" w:rsidRPr="00B01233" w:rsidRDefault="004E065C" w:rsidP="00EA3662">
      <w:pPr>
        <w:rPr>
          <w:sz w:val="22"/>
          <w:lang w:eastAsia="es-ES"/>
        </w:rPr>
      </w:pPr>
      <w:r w:rsidRPr="00B01233">
        <w:rPr>
          <w:sz w:val="22"/>
          <w:lang w:eastAsia="es-ES"/>
        </w:rPr>
        <w:t xml:space="preserve">RB-96: Rendimiento industrial en base 96(%) </w:t>
      </w:r>
    </w:p>
    <w:p w14:paraId="1E0A634E" w14:textId="5E294687" w:rsidR="004E065C" w:rsidRDefault="004E065C" w:rsidP="00EA3662">
      <w:pPr>
        <w:rPr>
          <w:sz w:val="22"/>
          <w:lang w:eastAsia="es-ES"/>
        </w:rPr>
      </w:pPr>
      <w:r w:rsidRPr="00B01233">
        <w:rPr>
          <w:sz w:val="22"/>
          <w:lang w:eastAsia="es-ES"/>
        </w:rPr>
        <w:lastRenderedPageBreak/>
        <w:t>A partir de la diferencia entre provisión azucarera agroindustrial</w:t>
      </w:r>
      <w:r w:rsidR="00B40FDE">
        <w:rPr>
          <w:sz w:val="22"/>
          <w:lang w:eastAsia="es-ES"/>
        </w:rPr>
        <w:t>,</w:t>
      </w:r>
      <w:r w:rsidRPr="00B01233">
        <w:rPr>
          <w:sz w:val="22"/>
          <w:lang w:eastAsia="es-ES"/>
        </w:rPr>
        <w:t xml:space="preserve"> potencial y real se determinó el índice a escala diaria (</w:t>
      </w: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006A253E">
        <w:rPr>
          <w:sz w:val="22"/>
          <w:lang w:eastAsia="es-ES"/>
        </w:rPr>
        <w:t>) (</w:t>
      </w:r>
      <w:r w:rsidRPr="00B01233">
        <w:rPr>
          <w:sz w:val="22"/>
          <w:lang w:eastAsia="es-ES"/>
        </w:rPr>
        <w:t xml:space="preserve">8). Este índice fue utilizado como variable respuesta para el </w:t>
      </w:r>
      <w:r w:rsidR="006A253E">
        <w:rPr>
          <w:sz w:val="22"/>
          <w:lang w:eastAsia="es-ES"/>
        </w:rPr>
        <w:t xml:space="preserve">ajuste de un modelo predictivo. </w:t>
      </w:r>
    </w:p>
    <w:p w14:paraId="0F907BC9" w14:textId="77777777" w:rsidR="004E065C" w:rsidRPr="00B01233" w:rsidRDefault="00BC50C5" w:rsidP="00EA3662">
      <w:pPr>
        <w:rPr>
          <w:sz w:val="22"/>
          <w:lang w:eastAsia="es-ES"/>
        </w:rPr>
      </w:pPr>
      <m:oMath>
        <m:sSub>
          <m:sSubPr>
            <m:ctrlPr>
              <w:rPr>
                <w:rFonts w:ascii="Cambria Math" w:hAnsi="Cambria Math"/>
                <w:i/>
                <w:sz w:val="22"/>
                <w:lang w:eastAsia="es-ES"/>
              </w:rPr>
            </m:ctrlPr>
          </m:sSubPr>
          <m:e>
            <m:r>
              <m:rPr>
                <m:nor/>
              </m:rPr>
              <w:rPr>
                <w:sz w:val="22"/>
                <w:lang w:eastAsia="es-ES"/>
              </w:rPr>
              <m:t>I</m:t>
            </m:r>
          </m:e>
          <m:sub>
            <m:r>
              <m:rPr>
                <m:nor/>
              </m:rPr>
              <w:rPr>
                <w:sz w:val="22"/>
                <w:lang w:eastAsia="es-ES"/>
              </w:rPr>
              <m:t>p-DRPE</m:t>
            </m:r>
          </m:sub>
        </m:sSub>
        <m:r>
          <m:rPr>
            <m:nor/>
          </m:rPr>
          <w:rPr>
            <w:sz w:val="22"/>
            <w:lang w:eastAsia="es-ES"/>
          </w:rPr>
          <m:t>=</m:t>
        </m:r>
        <m:f>
          <m:fPr>
            <m:ctrlPr>
              <w:rPr>
                <w:rFonts w:ascii="Cambria Math" w:hAnsi="Cambria Math"/>
                <w:i/>
                <w:sz w:val="22"/>
                <w:lang w:eastAsia="es-ES"/>
              </w:rPr>
            </m:ctrlPr>
          </m:fPr>
          <m:num>
            <m:r>
              <m:rPr>
                <m:nor/>
              </m:rPr>
              <w:rPr>
                <w:sz w:val="22"/>
                <w:lang w:eastAsia="es-ES"/>
              </w:rPr>
              <m:t>DPRE</m:t>
            </m:r>
            <m:r>
              <m:rPr>
                <m:nor/>
              </m:rPr>
              <w:rPr>
                <w:rFonts w:ascii="Cambria Math"/>
                <w:sz w:val="22"/>
                <w:lang w:eastAsia="es-ES"/>
              </w:rPr>
              <m:t xml:space="preserve"> </m:t>
            </m:r>
            <m:r>
              <m:rPr>
                <m:nor/>
              </m:rPr>
              <w:rPr>
                <w:sz w:val="22"/>
                <w:lang w:eastAsia="es-ES"/>
              </w:rPr>
              <m:t>*</m:t>
            </m:r>
            <m:sSub>
              <m:sSubPr>
                <m:ctrlPr>
                  <w:rPr>
                    <w:rFonts w:ascii="Cambria Math" w:hAnsi="Cambria Math"/>
                    <w:i/>
                    <w:sz w:val="22"/>
                    <w:lang w:eastAsia="es-ES"/>
                  </w:rPr>
                </m:ctrlPr>
              </m:sSubPr>
              <m:e>
                <m:r>
                  <m:rPr>
                    <m:nor/>
                  </m:rPr>
                  <w:rPr>
                    <w:rFonts w:ascii="Cambria Math"/>
                    <w:sz w:val="22"/>
                    <w:lang w:eastAsia="es-ES"/>
                  </w:rPr>
                  <m:t xml:space="preserve"> </m:t>
                </m:r>
                <m:r>
                  <m:rPr>
                    <m:nor/>
                  </m:rPr>
                  <w:rPr>
                    <w:sz w:val="22"/>
                    <w:lang w:eastAsia="es-ES"/>
                  </w:rPr>
                  <m:t>P</m:t>
                </m:r>
              </m:e>
              <m:sub>
                <m:r>
                  <m:rPr>
                    <m:nor/>
                  </m:rPr>
                  <w:rPr>
                    <w:sz w:val="22"/>
                    <w:lang w:eastAsia="es-ES"/>
                  </w:rPr>
                  <m:t>A</m:t>
                </m:r>
              </m:sub>
            </m:sSub>
          </m:num>
          <m:den>
            <m:sSub>
              <m:sSubPr>
                <m:ctrlPr>
                  <w:rPr>
                    <w:rFonts w:ascii="Cambria Math" w:hAnsi="Cambria Math"/>
                    <w:i/>
                    <w:sz w:val="22"/>
                    <w:lang w:eastAsia="es-ES"/>
                  </w:rPr>
                </m:ctrlPr>
              </m:sSubPr>
              <m:e>
                <m:r>
                  <m:rPr>
                    <m:nor/>
                  </m:rPr>
                  <w:rPr>
                    <w:sz w:val="22"/>
                    <w:lang w:eastAsia="es-ES"/>
                  </w:rPr>
                  <m:t>C</m:t>
                </m:r>
              </m:e>
              <m:sub>
                <m:r>
                  <m:rPr>
                    <m:nor/>
                  </m:rPr>
                  <w:rPr>
                    <w:sz w:val="22"/>
                    <w:lang w:eastAsia="es-ES"/>
                  </w:rPr>
                  <m:t>mi</m:t>
                </m:r>
              </m:sub>
            </m:sSub>
          </m:den>
        </m:f>
      </m:oMath>
      <w:r w:rsidR="004E065C" w:rsidRPr="00B01233">
        <w:rPr>
          <w:sz w:val="22"/>
          <w:lang w:eastAsia="es-ES"/>
        </w:rPr>
        <w:t xml:space="preserve">                                                                </w:t>
      </w:r>
      <w:r w:rsidR="006A253E">
        <w:rPr>
          <w:sz w:val="22"/>
          <w:lang w:eastAsia="es-ES"/>
        </w:rPr>
        <w:t xml:space="preserve">                            (</w:t>
      </w:r>
      <w:r w:rsidR="004E065C" w:rsidRPr="00B01233">
        <w:rPr>
          <w:sz w:val="22"/>
          <w:lang w:eastAsia="es-ES"/>
        </w:rPr>
        <w:t>8)</w:t>
      </w:r>
    </w:p>
    <w:p w14:paraId="34E97655" w14:textId="77777777" w:rsidR="004E065C" w:rsidRPr="00B01233" w:rsidRDefault="004E065C" w:rsidP="00EA3662">
      <w:pPr>
        <w:rPr>
          <w:sz w:val="22"/>
          <w:lang w:eastAsia="es-ES"/>
        </w:rPr>
      </w:pP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Pr="00B01233">
        <w:rPr>
          <w:sz w:val="22"/>
          <w:lang w:eastAsia="es-ES"/>
        </w:rPr>
        <w:t>: Índice de perjuicio por diferencia entre provisión azucarera agroindustrial potencial y real (USD t</w:t>
      </w:r>
      <w:r w:rsidRPr="00B01233">
        <w:rPr>
          <w:sz w:val="22"/>
          <w:vertAlign w:val="superscript"/>
          <w:lang w:eastAsia="es-ES"/>
        </w:rPr>
        <w:t>-1</w:t>
      </w:r>
      <w:r w:rsidRPr="00B01233">
        <w:rPr>
          <w:sz w:val="22"/>
          <w:lang w:eastAsia="es-ES"/>
        </w:rPr>
        <w:t xml:space="preserve"> de caña molida)</w:t>
      </w:r>
    </w:p>
    <w:p w14:paraId="7B6D6A13" w14:textId="77777777" w:rsidR="004E065C" w:rsidRPr="00B01233" w:rsidRDefault="004E065C" w:rsidP="00EA3662">
      <w:pPr>
        <w:rPr>
          <w:sz w:val="22"/>
          <w:lang w:eastAsia="es-ES"/>
        </w:rPr>
      </w:pPr>
      <w:r w:rsidRPr="00B01233">
        <w:rPr>
          <w:sz w:val="22"/>
          <w:lang w:eastAsia="es-ES"/>
        </w:rPr>
        <w:t>P</w:t>
      </w:r>
      <w:r w:rsidRPr="00B01233">
        <w:rPr>
          <w:sz w:val="22"/>
          <w:vertAlign w:val="subscript"/>
          <w:lang w:eastAsia="es-ES"/>
        </w:rPr>
        <w:t>A</w:t>
      </w:r>
      <w:r w:rsidRPr="00B01233">
        <w:rPr>
          <w:sz w:val="22"/>
          <w:lang w:eastAsia="es-ES"/>
        </w:rPr>
        <w:t>: Precio del azúcar (USD t</w:t>
      </w:r>
      <w:r w:rsidRPr="00B01233">
        <w:rPr>
          <w:sz w:val="22"/>
          <w:vertAlign w:val="superscript"/>
          <w:lang w:eastAsia="es-ES"/>
        </w:rPr>
        <w:t>-1</w:t>
      </w:r>
      <w:r w:rsidRPr="00B01233">
        <w:rPr>
          <w:sz w:val="22"/>
          <w:lang w:eastAsia="es-ES"/>
        </w:rPr>
        <w:t xml:space="preserve"> de azúcar). </w:t>
      </w:r>
    </w:p>
    <w:p w14:paraId="2F8B5AE2" w14:textId="77777777" w:rsidR="004E065C" w:rsidRPr="00B01233" w:rsidRDefault="004E065C" w:rsidP="00EA3662">
      <w:pPr>
        <w:rPr>
          <w:sz w:val="22"/>
          <w:lang w:eastAsia="es-ES"/>
        </w:rPr>
      </w:pPr>
      <w:r w:rsidRPr="00B01233">
        <w:rPr>
          <w:sz w:val="22"/>
          <w:lang w:eastAsia="es-ES"/>
        </w:rPr>
        <w:t>Los análisis económicos se realizaron bajo la consideración de los precios del mercado internacional en dólares (USD). En el ajuste del modelo predictivo para este perjuicio, se generó una variable aleatoria de precios con media de 467,7, desviación estándar de 112,2, para un intervalo de 213,3 a 797,2 USD t</w:t>
      </w:r>
      <w:r w:rsidRPr="00B01233">
        <w:rPr>
          <w:sz w:val="22"/>
          <w:vertAlign w:val="superscript"/>
          <w:lang w:eastAsia="es-ES"/>
        </w:rPr>
        <w:t>-1</w:t>
      </w:r>
      <w:r w:rsidRPr="00B01233">
        <w:rPr>
          <w:sz w:val="22"/>
          <w:lang w:eastAsia="es-ES"/>
        </w:rPr>
        <w:t xml:space="preserve"> de azúcar. </w:t>
      </w:r>
    </w:p>
    <w:p w14:paraId="102A4CDF" w14:textId="77777777" w:rsidR="000A104F" w:rsidRPr="00B01233" w:rsidRDefault="000A104F" w:rsidP="00EA3662">
      <w:pPr>
        <w:rPr>
          <w:sz w:val="22"/>
          <w:lang w:eastAsia="es-ES"/>
        </w:rPr>
      </w:pPr>
    </w:p>
    <w:p w14:paraId="41D3C667" w14:textId="0B18944F" w:rsidR="000A104F" w:rsidRPr="00B01233" w:rsidRDefault="000A104F" w:rsidP="00EA3662">
      <w:pPr>
        <w:rPr>
          <w:b/>
          <w:sz w:val="22"/>
          <w:lang w:eastAsia="es-ES"/>
        </w:rPr>
      </w:pPr>
      <w:r w:rsidRPr="00B01233">
        <w:rPr>
          <w:b/>
          <w:sz w:val="22"/>
          <w:lang w:eastAsia="es-ES"/>
        </w:rPr>
        <w:t xml:space="preserve">Resultados y </w:t>
      </w:r>
      <w:r w:rsidR="000165B0">
        <w:rPr>
          <w:b/>
          <w:sz w:val="22"/>
          <w:lang w:eastAsia="es-ES"/>
        </w:rPr>
        <w:t>D</w:t>
      </w:r>
      <w:r w:rsidRPr="00B01233">
        <w:rPr>
          <w:b/>
          <w:sz w:val="22"/>
          <w:lang w:eastAsia="es-ES"/>
        </w:rPr>
        <w:t>iscusión</w:t>
      </w:r>
    </w:p>
    <w:p w14:paraId="67BF06A2" w14:textId="3516FC65" w:rsidR="000A104F" w:rsidRDefault="006A253E" w:rsidP="00EA3662">
      <w:pPr>
        <w:rPr>
          <w:bCs/>
          <w:sz w:val="22"/>
        </w:rPr>
      </w:pPr>
      <w:r>
        <w:rPr>
          <w:bCs/>
          <w:sz w:val="22"/>
        </w:rPr>
        <w:t xml:space="preserve">En la </w:t>
      </w:r>
      <w:r w:rsidR="009F7276">
        <w:rPr>
          <w:bCs/>
          <w:sz w:val="22"/>
        </w:rPr>
        <w:t>T</w:t>
      </w:r>
      <w:r>
        <w:rPr>
          <w:bCs/>
          <w:sz w:val="22"/>
        </w:rPr>
        <w:t xml:space="preserve">abla </w:t>
      </w:r>
      <w:r w:rsidR="000A104F" w:rsidRPr="00B01233">
        <w:rPr>
          <w:bCs/>
          <w:sz w:val="22"/>
        </w:rPr>
        <w:t>1 se puede observar la car</w:t>
      </w:r>
      <w:r w:rsidR="005355F6">
        <w:rPr>
          <w:bCs/>
          <w:sz w:val="22"/>
        </w:rPr>
        <w:t xml:space="preserve">acterización de los indicadores que </w:t>
      </w:r>
      <w:r w:rsidR="00612B22">
        <w:rPr>
          <w:bCs/>
          <w:sz w:val="22"/>
        </w:rPr>
        <w:t xml:space="preserve">sirvieron de base para el </w:t>
      </w:r>
      <w:r w:rsidR="005355F6">
        <w:rPr>
          <w:bCs/>
          <w:sz w:val="22"/>
        </w:rPr>
        <w:t>ajuste del modelo predictivo.</w:t>
      </w:r>
      <w:r w:rsidR="000A104F" w:rsidRPr="00B01233">
        <w:rPr>
          <w:bCs/>
          <w:sz w:val="22"/>
        </w:rPr>
        <w:t xml:space="preserve"> </w:t>
      </w:r>
    </w:p>
    <w:p w14:paraId="266E5849" w14:textId="77777777" w:rsidR="005355F6" w:rsidRPr="00B01233" w:rsidRDefault="005355F6" w:rsidP="00EA3662">
      <w:pPr>
        <w:rPr>
          <w:sz w:val="22"/>
        </w:rPr>
      </w:pPr>
    </w:p>
    <w:p w14:paraId="723D9D6B" w14:textId="3F2A7A1F" w:rsidR="000A104F" w:rsidRPr="00340943" w:rsidRDefault="006A253E" w:rsidP="00EA3662">
      <w:pPr>
        <w:jc w:val="center"/>
        <w:rPr>
          <w:b/>
          <w:bCs/>
          <w:sz w:val="22"/>
        </w:rPr>
      </w:pPr>
      <w:r w:rsidRPr="00340943">
        <w:rPr>
          <w:b/>
          <w:bCs/>
          <w:sz w:val="22"/>
        </w:rPr>
        <w:t xml:space="preserve">Tabla </w:t>
      </w:r>
      <w:r w:rsidR="000A104F" w:rsidRPr="00340943">
        <w:rPr>
          <w:b/>
          <w:bCs/>
          <w:sz w:val="22"/>
        </w:rPr>
        <w:t>1</w:t>
      </w:r>
      <w:r w:rsidRPr="00340943">
        <w:rPr>
          <w:b/>
          <w:bCs/>
          <w:sz w:val="22"/>
        </w:rPr>
        <w:t>.</w:t>
      </w:r>
      <w:r w:rsidR="000A104F" w:rsidRPr="00340943">
        <w:rPr>
          <w:b/>
          <w:bCs/>
          <w:sz w:val="22"/>
        </w:rPr>
        <w:t xml:space="preserve"> </w:t>
      </w:r>
      <w:r w:rsidR="000A104F" w:rsidRPr="00340943">
        <w:rPr>
          <w:b/>
          <w:iCs/>
          <w:sz w:val="22"/>
        </w:rPr>
        <w:t>Descripción</w:t>
      </w:r>
      <w:r w:rsidR="00612B22">
        <w:rPr>
          <w:b/>
          <w:bCs/>
          <w:sz w:val="22"/>
        </w:rPr>
        <w:t xml:space="preserve"> estadística de</w:t>
      </w:r>
      <w:r w:rsidR="000A104F" w:rsidRPr="00340943">
        <w:rPr>
          <w:b/>
          <w:bCs/>
          <w:sz w:val="22"/>
        </w:rPr>
        <w:t xml:space="preserve"> indicadores recopilados a escala diaria</w:t>
      </w:r>
    </w:p>
    <w:tbl>
      <w:tblPr>
        <w:tblStyle w:val="Tablanormal321"/>
        <w:tblW w:w="5562" w:type="dxa"/>
        <w:jc w:val="center"/>
        <w:tblLayout w:type="fixed"/>
        <w:tblLook w:val="04A0" w:firstRow="1" w:lastRow="0" w:firstColumn="1" w:lastColumn="0" w:noHBand="0" w:noVBand="1"/>
      </w:tblPr>
      <w:tblGrid>
        <w:gridCol w:w="3119"/>
        <w:gridCol w:w="1276"/>
        <w:gridCol w:w="1167"/>
      </w:tblGrid>
      <w:tr w:rsidR="002152B3" w:rsidRPr="00B01233" w14:paraId="01FAA8CA" w14:textId="77777777" w:rsidTr="002152B3">
        <w:trPr>
          <w:cnfStyle w:val="100000000000" w:firstRow="1" w:lastRow="0" w:firstColumn="0" w:lastColumn="0" w:oddVBand="0" w:evenVBand="0" w:oddHBand="0" w:evenHBand="0" w:firstRowFirstColumn="0" w:firstRowLastColumn="0" w:lastRowFirstColumn="0" w:lastRowLastColumn="0"/>
          <w:trHeight w:val="199"/>
          <w:jc w:val="center"/>
        </w:trPr>
        <w:tc>
          <w:tcPr>
            <w:cnfStyle w:val="001000000100" w:firstRow="0" w:lastRow="0" w:firstColumn="1" w:lastColumn="0" w:oddVBand="0" w:evenVBand="0" w:oddHBand="0" w:evenHBand="0" w:firstRowFirstColumn="1" w:firstRowLastColumn="0" w:lastRowFirstColumn="0" w:lastRowLastColumn="0"/>
            <w:tcW w:w="3119" w:type="dxa"/>
          </w:tcPr>
          <w:p w14:paraId="40CCF4DA" w14:textId="77777777" w:rsidR="002152B3" w:rsidRPr="00B01233" w:rsidRDefault="002152B3" w:rsidP="00EA3662">
            <w:pPr>
              <w:widowControl w:val="0"/>
              <w:autoSpaceDE w:val="0"/>
              <w:autoSpaceDN w:val="0"/>
              <w:adjustRightInd w:val="0"/>
              <w:spacing w:line="360" w:lineRule="auto"/>
              <w:rPr>
                <w:rFonts w:cs="Arial"/>
                <w:sz w:val="22"/>
              </w:rPr>
            </w:pPr>
          </w:p>
        </w:tc>
        <w:tc>
          <w:tcPr>
            <w:tcW w:w="1276" w:type="dxa"/>
          </w:tcPr>
          <w:p w14:paraId="11DA2717" w14:textId="77777777" w:rsidR="002152B3" w:rsidRPr="006A253E" w:rsidRDefault="002152B3" w:rsidP="00EA3662">
            <w:pPr>
              <w:widowControl w:val="0"/>
              <w:autoSpaceDE w:val="0"/>
              <w:autoSpaceDN w:val="0"/>
              <w:adjustRightInd w:val="0"/>
              <w:spacing w:line="360" w:lineRule="auto"/>
              <w:ind w:left="-57" w:right="-57"/>
              <w:jc w:val="center"/>
              <w:cnfStyle w:val="100000000000" w:firstRow="1" w:lastRow="0" w:firstColumn="0" w:lastColumn="0" w:oddVBand="0" w:evenVBand="0" w:oddHBand="0" w:evenHBand="0" w:firstRowFirstColumn="0" w:firstRowLastColumn="0" w:lastRowFirstColumn="0" w:lastRowLastColumn="0"/>
              <w:rPr>
                <w:rFonts w:cs="Arial"/>
                <w:sz w:val="22"/>
              </w:rPr>
            </w:pPr>
            <w:r w:rsidRPr="006A253E">
              <w:rPr>
                <w:rFonts w:cs="Arial"/>
                <w:sz w:val="22"/>
              </w:rPr>
              <w:t>PERD_T</w:t>
            </w:r>
          </w:p>
        </w:tc>
        <w:tc>
          <w:tcPr>
            <w:tcW w:w="1167" w:type="dxa"/>
          </w:tcPr>
          <w:p w14:paraId="791A534D" w14:textId="77777777" w:rsidR="002152B3" w:rsidRPr="006A253E" w:rsidRDefault="002152B3" w:rsidP="00EA3662">
            <w:pPr>
              <w:widowControl w:val="0"/>
              <w:autoSpaceDE w:val="0"/>
              <w:autoSpaceDN w:val="0"/>
              <w:adjustRightInd w:val="0"/>
              <w:spacing w:line="360" w:lineRule="auto"/>
              <w:ind w:left="-57" w:right="-57"/>
              <w:jc w:val="center"/>
              <w:cnfStyle w:val="100000000000" w:firstRow="1" w:lastRow="0" w:firstColumn="0" w:lastColumn="0" w:oddVBand="0" w:evenVBand="0" w:oddHBand="0" w:evenHBand="0" w:firstRowFirstColumn="0" w:firstRowLastColumn="0" w:lastRowFirstColumn="0" w:lastRowLastColumn="0"/>
              <w:rPr>
                <w:rFonts w:cs="Arial"/>
                <w:sz w:val="22"/>
              </w:rPr>
            </w:pPr>
            <w:r w:rsidRPr="006A253E">
              <w:rPr>
                <w:rFonts w:cs="Arial"/>
                <w:sz w:val="22"/>
              </w:rPr>
              <w:t>DPRE</w:t>
            </w:r>
          </w:p>
        </w:tc>
      </w:tr>
      <w:tr w:rsidR="002152B3" w:rsidRPr="00B01233" w14:paraId="2FC84299" w14:textId="77777777" w:rsidTr="002152B3">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829EB95" w14:textId="77777777" w:rsidR="002152B3" w:rsidRPr="00B01233" w:rsidRDefault="002152B3" w:rsidP="00EA3662">
            <w:pPr>
              <w:widowControl w:val="0"/>
              <w:autoSpaceDE w:val="0"/>
              <w:autoSpaceDN w:val="0"/>
              <w:adjustRightInd w:val="0"/>
              <w:spacing w:line="360" w:lineRule="auto"/>
              <w:rPr>
                <w:rFonts w:cs="Arial"/>
                <w:caps w:val="0"/>
                <w:sz w:val="22"/>
              </w:rPr>
            </w:pPr>
            <w:r w:rsidRPr="00B01233">
              <w:rPr>
                <w:rFonts w:cs="Arial"/>
                <w:caps w:val="0"/>
                <w:sz w:val="22"/>
              </w:rPr>
              <w:t>N:</w:t>
            </w:r>
            <w:r w:rsidRPr="00B01233">
              <w:rPr>
                <w:rFonts w:cs="Arial"/>
                <w:b w:val="0"/>
                <w:caps w:val="0"/>
                <w:sz w:val="22"/>
              </w:rPr>
              <w:t xml:space="preserve"> tamaño de la muestra</w:t>
            </w:r>
          </w:p>
        </w:tc>
        <w:tc>
          <w:tcPr>
            <w:tcW w:w="1276" w:type="dxa"/>
            <w:shd w:val="clear" w:color="auto" w:fill="auto"/>
          </w:tcPr>
          <w:p w14:paraId="4B3F6E53" w14:textId="77777777" w:rsidR="002152B3" w:rsidRPr="006A253E"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rPr>
            </w:pPr>
            <w:r w:rsidRPr="006A253E">
              <w:rPr>
                <w:rFonts w:cs="Arial"/>
                <w:sz w:val="22"/>
              </w:rPr>
              <w:t>340</w:t>
            </w:r>
          </w:p>
        </w:tc>
        <w:tc>
          <w:tcPr>
            <w:tcW w:w="1167" w:type="dxa"/>
            <w:shd w:val="clear" w:color="auto" w:fill="auto"/>
          </w:tcPr>
          <w:p w14:paraId="5B7843A7" w14:textId="77777777" w:rsidR="002152B3" w:rsidRPr="006A253E"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rPr>
            </w:pPr>
            <w:r w:rsidRPr="006A253E">
              <w:rPr>
                <w:rFonts w:cs="Arial"/>
                <w:sz w:val="22"/>
              </w:rPr>
              <w:t>340</w:t>
            </w:r>
          </w:p>
        </w:tc>
      </w:tr>
      <w:tr w:rsidR="002152B3" w:rsidRPr="00B01233" w14:paraId="675B7071" w14:textId="77777777" w:rsidTr="002152B3">
        <w:trPr>
          <w:trHeight w:val="209"/>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0AFB4C2" w14:textId="77777777" w:rsidR="002152B3" w:rsidRPr="006A253E" w:rsidRDefault="002152B3" w:rsidP="00EA3662">
            <w:pPr>
              <w:widowControl w:val="0"/>
              <w:autoSpaceDE w:val="0"/>
              <w:autoSpaceDN w:val="0"/>
              <w:adjustRightInd w:val="0"/>
              <w:spacing w:line="360" w:lineRule="auto"/>
              <w:rPr>
                <w:rFonts w:cs="Arial"/>
                <w:caps w:val="0"/>
                <w:sz w:val="22"/>
              </w:rPr>
            </w:pPr>
            <w:r w:rsidRPr="006A253E">
              <w:rPr>
                <w:rFonts w:cs="Arial"/>
                <w:caps w:val="0"/>
                <w:sz w:val="22"/>
              </w:rPr>
              <w:t>X:</w:t>
            </w:r>
            <w:r w:rsidRPr="00B01233">
              <w:rPr>
                <w:rFonts w:cs="Arial"/>
                <w:b w:val="0"/>
                <w:caps w:val="0"/>
                <w:sz w:val="22"/>
              </w:rPr>
              <w:t xml:space="preserve"> media</w:t>
            </w:r>
          </w:p>
        </w:tc>
        <w:tc>
          <w:tcPr>
            <w:tcW w:w="1276" w:type="dxa"/>
            <w:shd w:val="clear" w:color="auto" w:fill="auto"/>
          </w:tcPr>
          <w:p w14:paraId="5FB653C3" w14:textId="77777777" w:rsidR="002152B3" w:rsidRPr="006A253E" w:rsidRDefault="002152B3" w:rsidP="00EA3662">
            <w:pPr>
              <w:widowControl w:val="0"/>
              <w:autoSpaceDE w:val="0"/>
              <w:autoSpaceDN w:val="0"/>
              <w:adjustRightInd w:val="0"/>
              <w:spacing w:line="360" w:lineRule="auto"/>
              <w:ind w:left="-57" w:right="-57"/>
              <w:jc w:val="center"/>
              <w:cnfStyle w:val="000000000000" w:firstRow="0" w:lastRow="0" w:firstColumn="0" w:lastColumn="0" w:oddVBand="0" w:evenVBand="0" w:oddHBand="0" w:evenHBand="0" w:firstRowFirstColumn="0" w:firstRowLastColumn="0" w:lastRowFirstColumn="0" w:lastRowLastColumn="0"/>
              <w:rPr>
                <w:rFonts w:cs="Arial"/>
                <w:sz w:val="22"/>
              </w:rPr>
            </w:pPr>
            <w:r w:rsidRPr="006A253E">
              <w:rPr>
                <w:rFonts w:cs="Arial"/>
                <w:sz w:val="22"/>
              </w:rPr>
              <w:t>18</w:t>
            </w:r>
            <w:r w:rsidRPr="006A253E">
              <w:rPr>
                <w:sz w:val="22"/>
              </w:rPr>
              <w:t>,</w:t>
            </w:r>
            <w:r w:rsidRPr="006A253E">
              <w:rPr>
                <w:rFonts w:cs="Arial"/>
                <w:sz w:val="22"/>
              </w:rPr>
              <w:t>5</w:t>
            </w:r>
          </w:p>
        </w:tc>
        <w:tc>
          <w:tcPr>
            <w:tcW w:w="1167" w:type="dxa"/>
            <w:shd w:val="clear" w:color="auto" w:fill="auto"/>
          </w:tcPr>
          <w:p w14:paraId="70B83F25" w14:textId="77777777" w:rsidR="002152B3" w:rsidRPr="006A253E" w:rsidRDefault="002152B3" w:rsidP="00EA3662">
            <w:pPr>
              <w:widowControl w:val="0"/>
              <w:autoSpaceDE w:val="0"/>
              <w:autoSpaceDN w:val="0"/>
              <w:adjustRightInd w:val="0"/>
              <w:spacing w:line="360" w:lineRule="auto"/>
              <w:ind w:left="-57" w:right="-57"/>
              <w:jc w:val="center"/>
              <w:cnfStyle w:val="000000000000" w:firstRow="0" w:lastRow="0" w:firstColumn="0" w:lastColumn="0" w:oddVBand="0" w:evenVBand="0" w:oddHBand="0" w:evenHBand="0" w:firstRowFirstColumn="0" w:firstRowLastColumn="0" w:lastRowFirstColumn="0" w:lastRowLastColumn="0"/>
              <w:rPr>
                <w:rFonts w:cs="Arial"/>
                <w:sz w:val="22"/>
              </w:rPr>
            </w:pPr>
            <w:r w:rsidRPr="006A253E">
              <w:rPr>
                <w:rFonts w:cs="Arial"/>
                <w:sz w:val="22"/>
              </w:rPr>
              <w:t>4</w:t>
            </w:r>
            <w:r w:rsidRPr="006A253E">
              <w:rPr>
                <w:sz w:val="22"/>
              </w:rPr>
              <w:t>,</w:t>
            </w:r>
            <w:r w:rsidRPr="006A253E">
              <w:rPr>
                <w:rFonts w:cs="Arial"/>
                <w:sz w:val="22"/>
              </w:rPr>
              <w:t>0</w:t>
            </w:r>
          </w:p>
        </w:tc>
      </w:tr>
      <w:tr w:rsidR="002152B3" w:rsidRPr="00B01233" w14:paraId="0CFE8778" w14:textId="77777777" w:rsidTr="002152B3">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F57E96" w14:textId="77777777" w:rsidR="002152B3" w:rsidRPr="006A253E" w:rsidRDefault="002152B3" w:rsidP="00EA3662">
            <w:pPr>
              <w:widowControl w:val="0"/>
              <w:autoSpaceDE w:val="0"/>
              <w:autoSpaceDN w:val="0"/>
              <w:adjustRightInd w:val="0"/>
              <w:spacing w:line="360" w:lineRule="auto"/>
              <w:rPr>
                <w:rFonts w:cs="Arial"/>
                <w:caps w:val="0"/>
                <w:sz w:val="22"/>
              </w:rPr>
            </w:pPr>
            <w:r w:rsidRPr="006A253E">
              <w:rPr>
                <w:rFonts w:cs="Arial"/>
                <w:caps w:val="0"/>
                <w:sz w:val="22"/>
              </w:rPr>
              <w:t>M</w:t>
            </w:r>
            <w:r w:rsidRPr="00B01233">
              <w:rPr>
                <w:rFonts w:cs="Arial"/>
                <w:b w:val="0"/>
                <w:caps w:val="0"/>
                <w:sz w:val="22"/>
              </w:rPr>
              <w:t>: mediana</w:t>
            </w:r>
          </w:p>
        </w:tc>
        <w:tc>
          <w:tcPr>
            <w:tcW w:w="1276" w:type="dxa"/>
            <w:shd w:val="clear" w:color="auto" w:fill="auto"/>
          </w:tcPr>
          <w:p w14:paraId="1A060AAD" w14:textId="77777777" w:rsidR="002152B3" w:rsidRPr="006A253E"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rPr>
            </w:pPr>
            <w:r w:rsidRPr="006A253E">
              <w:rPr>
                <w:rFonts w:cs="Arial"/>
                <w:sz w:val="22"/>
              </w:rPr>
              <w:t>18</w:t>
            </w:r>
            <w:r w:rsidRPr="006A253E">
              <w:rPr>
                <w:sz w:val="22"/>
              </w:rPr>
              <w:t>,</w:t>
            </w:r>
            <w:r w:rsidRPr="006A253E">
              <w:rPr>
                <w:rFonts w:cs="Arial"/>
                <w:sz w:val="22"/>
              </w:rPr>
              <w:t>4</w:t>
            </w:r>
          </w:p>
        </w:tc>
        <w:tc>
          <w:tcPr>
            <w:tcW w:w="1167" w:type="dxa"/>
            <w:shd w:val="clear" w:color="auto" w:fill="auto"/>
          </w:tcPr>
          <w:p w14:paraId="74D43B94" w14:textId="77777777" w:rsidR="002152B3" w:rsidRPr="006A253E"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rPr>
            </w:pPr>
            <w:r w:rsidRPr="006A253E">
              <w:rPr>
                <w:rFonts w:cs="Arial"/>
                <w:sz w:val="22"/>
              </w:rPr>
              <w:t>3</w:t>
            </w:r>
            <w:r w:rsidRPr="006A253E">
              <w:rPr>
                <w:sz w:val="22"/>
              </w:rPr>
              <w:t>,</w:t>
            </w:r>
            <w:r w:rsidRPr="006A253E">
              <w:rPr>
                <w:rFonts w:cs="Arial"/>
                <w:sz w:val="22"/>
              </w:rPr>
              <w:t>7</w:t>
            </w:r>
          </w:p>
        </w:tc>
      </w:tr>
      <w:tr w:rsidR="002152B3" w:rsidRPr="00B01233" w14:paraId="1A08CA44" w14:textId="77777777" w:rsidTr="002152B3">
        <w:trPr>
          <w:trHeight w:val="199"/>
          <w:jc w:val="center"/>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B9FACE2" w14:textId="77777777" w:rsidR="002152B3" w:rsidRPr="006A253E" w:rsidRDefault="002152B3" w:rsidP="00EA3662">
            <w:pPr>
              <w:widowControl w:val="0"/>
              <w:autoSpaceDE w:val="0"/>
              <w:autoSpaceDN w:val="0"/>
              <w:adjustRightInd w:val="0"/>
              <w:spacing w:line="360" w:lineRule="auto"/>
              <w:rPr>
                <w:rFonts w:cs="Arial"/>
                <w:caps w:val="0"/>
                <w:sz w:val="22"/>
              </w:rPr>
            </w:pPr>
            <w:r w:rsidRPr="006A253E">
              <w:rPr>
                <w:rFonts w:cs="Arial"/>
                <w:caps w:val="0"/>
                <w:sz w:val="22"/>
              </w:rPr>
              <w:t>DS:</w:t>
            </w:r>
            <w:r w:rsidRPr="00B01233">
              <w:rPr>
                <w:rFonts w:cs="Arial"/>
                <w:b w:val="0"/>
                <w:caps w:val="0"/>
                <w:sz w:val="22"/>
              </w:rPr>
              <w:t xml:space="preserve"> desviación estándar</w:t>
            </w:r>
          </w:p>
        </w:tc>
        <w:tc>
          <w:tcPr>
            <w:tcW w:w="1276" w:type="dxa"/>
            <w:shd w:val="clear" w:color="auto" w:fill="auto"/>
          </w:tcPr>
          <w:p w14:paraId="57B82CF9" w14:textId="77777777" w:rsidR="002152B3" w:rsidRPr="006A253E" w:rsidRDefault="002152B3" w:rsidP="00EA3662">
            <w:pPr>
              <w:widowControl w:val="0"/>
              <w:autoSpaceDE w:val="0"/>
              <w:autoSpaceDN w:val="0"/>
              <w:adjustRightInd w:val="0"/>
              <w:spacing w:line="360" w:lineRule="auto"/>
              <w:ind w:left="-57" w:right="-57"/>
              <w:jc w:val="center"/>
              <w:cnfStyle w:val="000000000000" w:firstRow="0" w:lastRow="0" w:firstColumn="0" w:lastColumn="0" w:oddVBand="0" w:evenVBand="0" w:oddHBand="0" w:evenHBand="0" w:firstRowFirstColumn="0" w:firstRowLastColumn="0" w:lastRowFirstColumn="0" w:lastRowLastColumn="0"/>
              <w:rPr>
                <w:rFonts w:cs="Arial"/>
                <w:sz w:val="22"/>
              </w:rPr>
            </w:pPr>
            <w:r w:rsidRPr="006A253E">
              <w:rPr>
                <w:rFonts w:cs="Arial"/>
                <w:sz w:val="22"/>
              </w:rPr>
              <w:t>3</w:t>
            </w:r>
            <w:r w:rsidRPr="006A253E">
              <w:rPr>
                <w:sz w:val="22"/>
              </w:rPr>
              <w:t>,</w:t>
            </w:r>
            <w:r w:rsidRPr="006A253E">
              <w:rPr>
                <w:rFonts w:cs="Arial"/>
                <w:sz w:val="22"/>
              </w:rPr>
              <w:t>1</w:t>
            </w:r>
          </w:p>
        </w:tc>
        <w:tc>
          <w:tcPr>
            <w:tcW w:w="1167" w:type="dxa"/>
            <w:shd w:val="clear" w:color="auto" w:fill="auto"/>
          </w:tcPr>
          <w:p w14:paraId="4FA22240" w14:textId="77777777" w:rsidR="002152B3" w:rsidRPr="006A253E" w:rsidRDefault="002152B3" w:rsidP="00EA3662">
            <w:pPr>
              <w:widowControl w:val="0"/>
              <w:autoSpaceDE w:val="0"/>
              <w:autoSpaceDN w:val="0"/>
              <w:adjustRightInd w:val="0"/>
              <w:spacing w:line="360" w:lineRule="auto"/>
              <w:ind w:left="-57" w:right="-57"/>
              <w:jc w:val="center"/>
              <w:cnfStyle w:val="000000000000" w:firstRow="0" w:lastRow="0" w:firstColumn="0" w:lastColumn="0" w:oddVBand="0" w:evenVBand="0" w:oddHBand="0" w:evenHBand="0" w:firstRowFirstColumn="0" w:firstRowLastColumn="0" w:lastRowFirstColumn="0" w:lastRowLastColumn="0"/>
              <w:rPr>
                <w:rFonts w:cs="Arial"/>
                <w:sz w:val="22"/>
              </w:rPr>
            </w:pPr>
            <w:r w:rsidRPr="006A253E">
              <w:rPr>
                <w:rFonts w:cs="Arial"/>
                <w:sz w:val="22"/>
              </w:rPr>
              <w:t>1</w:t>
            </w:r>
            <w:r w:rsidRPr="006A253E">
              <w:rPr>
                <w:sz w:val="22"/>
              </w:rPr>
              <w:t>,</w:t>
            </w:r>
            <w:r w:rsidRPr="006A253E">
              <w:rPr>
                <w:rFonts w:cs="Arial"/>
                <w:sz w:val="22"/>
              </w:rPr>
              <w:t>8</w:t>
            </w:r>
          </w:p>
        </w:tc>
      </w:tr>
      <w:tr w:rsidR="002152B3" w:rsidRPr="00B01233" w14:paraId="38AF1C6B" w14:textId="77777777" w:rsidTr="002152B3">
        <w:trPr>
          <w:cnfStyle w:val="000000100000" w:firstRow="0" w:lastRow="0" w:firstColumn="0" w:lastColumn="0" w:oddVBand="0" w:evenVBand="0" w:oddHBand="1" w:evenHBand="0" w:firstRowFirstColumn="0" w:firstRowLastColumn="0" w:lastRowFirstColumn="0" w:lastRowLastColumn="0"/>
          <w:trHeight w:val="209"/>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4" w:space="0" w:color="auto"/>
            </w:tcBorders>
            <w:shd w:val="clear" w:color="auto" w:fill="auto"/>
          </w:tcPr>
          <w:p w14:paraId="5E446473" w14:textId="77777777" w:rsidR="002152B3" w:rsidRPr="00B01233" w:rsidRDefault="002152B3" w:rsidP="00EA3662">
            <w:pPr>
              <w:widowControl w:val="0"/>
              <w:autoSpaceDE w:val="0"/>
              <w:autoSpaceDN w:val="0"/>
              <w:adjustRightInd w:val="0"/>
              <w:spacing w:line="360" w:lineRule="auto"/>
              <w:rPr>
                <w:rFonts w:cs="Arial"/>
                <w:caps w:val="0"/>
                <w:sz w:val="22"/>
                <w:lang w:val="en-GB"/>
              </w:rPr>
            </w:pPr>
            <w:r w:rsidRPr="006A253E">
              <w:rPr>
                <w:rFonts w:cs="Arial"/>
                <w:caps w:val="0"/>
                <w:sz w:val="22"/>
              </w:rPr>
              <w:t xml:space="preserve">CV: </w:t>
            </w:r>
            <w:r w:rsidRPr="00B01233">
              <w:rPr>
                <w:rFonts w:cs="Arial"/>
                <w:b w:val="0"/>
                <w:caps w:val="0"/>
                <w:sz w:val="22"/>
              </w:rPr>
              <w:t>coeficiente de variación</w:t>
            </w:r>
          </w:p>
        </w:tc>
        <w:tc>
          <w:tcPr>
            <w:tcW w:w="1276" w:type="dxa"/>
            <w:tcBorders>
              <w:top w:val="nil"/>
              <w:bottom w:val="single" w:sz="4" w:space="0" w:color="auto"/>
            </w:tcBorders>
            <w:shd w:val="clear" w:color="auto" w:fill="auto"/>
          </w:tcPr>
          <w:p w14:paraId="00CE7024" w14:textId="77777777" w:rsidR="002152B3" w:rsidRPr="00B01233"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lang w:val="en-GB"/>
              </w:rPr>
            </w:pPr>
            <w:r w:rsidRPr="00B01233">
              <w:rPr>
                <w:rFonts w:cs="Arial"/>
                <w:sz w:val="22"/>
                <w:lang w:val="en-GB"/>
              </w:rPr>
              <w:t>17</w:t>
            </w:r>
            <w:r w:rsidRPr="00B01233">
              <w:rPr>
                <w:sz w:val="22"/>
                <w:lang w:val="en-GB"/>
              </w:rPr>
              <w:t>,</w:t>
            </w:r>
            <w:r w:rsidRPr="00B01233">
              <w:rPr>
                <w:rFonts w:cs="Arial"/>
                <w:sz w:val="22"/>
                <w:lang w:val="en-GB"/>
              </w:rPr>
              <w:t>0</w:t>
            </w:r>
          </w:p>
        </w:tc>
        <w:tc>
          <w:tcPr>
            <w:tcW w:w="1167" w:type="dxa"/>
            <w:tcBorders>
              <w:top w:val="nil"/>
              <w:bottom w:val="single" w:sz="4" w:space="0" w:color="auto"/>
            </w:tcBorders>
            <w:shd w:val="clear" w:color="auto" w:fill="auto"/>
          </w:tcPr>
          <w:p w14:paraId="0AB0B8D3" w14:textId="77777777" w:rsidR="002152B3" w:rsidRPr="00B01233" w:rsidRDefault="002152B3" w:rsidP="00EA3662">
            <w:pPr>
              <w:widowControl w:val="0"/>
              <w:autoSpaceDE w:val="0"/>
              <w:autoSpaceDN w:val="0"/>
              <w:adjustRightInd w:val="0"/>
              <w:spacing w:line="360" w:lineRule="auto"/>
              <w:ind w:left="-57" w:right="-57"/>
              <w:jc w:val="center"/>
              <w:cnfStyle w:val="000000100000" w:firstRow="0" w:lastRow="0" w:firstColumn="0" w:lastColumn="0" w:oddVBand="0" w:evenVBand="0" w:oddHBand="1" w:evenHBand="0" w:firstRowFirstColumn="0" w:firstRowLastColumn="0" w:lastRowFirstColumn="0" w:lastRowLastColumn="0"/>
              <w:rPr>
                <w:rFonts w:cs="Arial"/>
                <w:sz w:val="22"/>
                <w:lang w:val="en-GB"/>
              </w:rPr>
            </w:pPr>
            <w:r w:rsidRPr="00B01233">
              <w:rPr>
                <w:rFonts w:cs="Arial"/>
                <w:sz w:val="22"/>
                <w:lang w:val="en-GB"/>
              </w:rPr>
              <w:t>44</w:t>
            </w:r>
            <w:r w:rsidRPr="00B01233">
              <w:rPr>
                <w:sz w:val="22"/>
                <w:lang w:val="en-GB"/>
              </w:rPr>
              <w:t>,</w:t>
            </w:r>
            <w:r w:rsidRPr="00B01233">
              <w:rPr>
                <w:rFonts w:cs="Arial"/>
                <w:sz w:val="22"/>
                <w:lang w:val="en-GB"/>
              </w:rPr>
              <w:t>7</w:t>
            </w:r>
          </w:p>
        </w:tc>
      </w:tr>
    </w:tbl>
    <w:p w14:paraId="30E208D4" w14:textId="77777777" w:rsidR="000A104F" w:rsidRPr="00B01233" w:rsidRDefault="000A104F" w:rsidP="00EA3662">
      <w:pPr>
        <w:rPr>
          <w:b/>
          <w:sz w:val="22"/>
          <w:lang w:eastAsia="es-ES"/>
        </w:rPr>
      </w:pPr>
      <w:r w:rsidRPr="00B01233">
        <w:rPr>
          <w:b/>
          <w:sz w:val="22"/>
          <w:lang w:eastAsia="es-ES"/>
        </w:rPr>
        <w:t xml:space="preserve"> </w:t>
      </w:r>
    </w:p>
    <w:p w14:paraId="6A7987FA" w14:textId="77777777" w:rsidR="004E065C" w:rsidRPr="00B01233" w:rsidRDefault="002152B3" w:rsidP="00EA3662">
      <w:pPr>
        <w:rPr>
          <w:sz w:val="22"/>
        </w:rPr>
      </w:pPr>
      <w:r w:rsidRPr="00B01233">
        <w:rPr>
          <w:sz w:val="22"/>
        </w:rPr>
        <w:t xml:space="preserve">La variable (PERD_T) corresponde a variaciones en factores dentro de la industria que originan pérdidas en el azúcar producido. </w:t>
      </w:r>
      <w:r w:rsidRPr="00B01233">
        <w:rPr>
          <w:iCs/>
          <w:sz w:val="22"/>
        </w:rPr>
        <w:t xml:space="preserve">Navarro y </w:t>
      </w:r>
      <w:proofErr w:type="spellStart"/>
      <w:r w:rsidRPr="00B01233">
        <w:rPr>
          <w:iCs/>
          <w:sz w:val="22"/>
        </w:rPr>
        <w:t>Rostgaard</w:t>
      </w:r>
      <w:proofErr w:type="spellEnd"/>
      <w:r w:rsidRPr="00B01233">
        <w:rPr>
          <w:iCs/>
          <w:sz w:val="22"/>
        </w:rPr>
        <w:t xml:space="preserve"> (2014) han encontrado que el </w:t>
      </w:r>
      <w:r w:rsidRPr="00B01233">
        <w:rPr>
          <w:sz w:val="22"/>
        </w:rPr>
        <w:t xml:space="preserve">porcentaje de extracción se ve afectado de 87,37 % a 83, 3 %, para el intervalo de 0 a 25 % de materia extraña. </w:t>
      </w:r>
      <w:r w:rsidR="005355F6">
        <w:rPr>
          <w:sz w:val="22"/>
        </w:rPr>
        <w:t xml:space="preserve">Para este caso se puede apreciar que </w:t>
      </w:r>
      <w:r w:rsidRPr="00B01233">
        <w:rPr>
          <w:sz w:val="22"/>
        </w:rPr>
        <w:t xml:space="preserve">el mayor valor del coeficiente de variación lo recoge la variable DPRE, que expresa que las diferencias entre potencial azucarero y el azúcar real obtenido son variables. </w:t>
      </w:r>
    </w:p>
    <w:p w14:paraId="53626F4A" w14:textId="251E079F" w:rsidR="00864090" w:rsidRDefault="002152B3" w:rsidP="00EA3662">
      <w:pPr>
        <w:autoSpaceDE w:val="0"/>
        <w:autoSpaceDN w:val="0"/>
        <w:adjustRightInd w:val="0"/>
        <w:rPr>
          <w:sz w:val="22"/>
        </w:rPr>
      </w:pPr>
      <w:r w:rsidRPr="00B01233">
        <w:rPr>
          <w:sz w:val="22"/>
        </w:rPr>
        <w:t xml:space="preserve">En los datos recolectados se observan valores de aprovechamiento del RPC variables entre 80 % y 90 %, concentrados entre el primer y tercer cuartil, respectivamente. Lo expuesto refiere a la existencia de un conflicto donde, a medida que aumentan las pérdidas, se aleja la producción de azúcar real, del potencial que posee la caña de azúcar cosechada. De </w:t>
      </w:r>
      <w:r w:rsidRPr="00B01233">
        <w:rPr>
          <w:sz w:val="22"/>
        </w:rPr>
        <w:lastRenderedPageBreak/>
        <w:t xml:space="preserve">esta forma, las pérdidas en la industria implican un impacto negativo que afecta la provisión azucarera. </w:t>
      </w:r>
      <w:r w:rsidR="00B42972">
        <w:rPr>
          <w:sz w:val="22"/>
        </w:rPr>
        <w:t xml:space="preserve">Los coeficientes </w:t>
      </w:r>
      <w:r w:rsidR="00864090">
        <w:rPr>
          <w:sz w:val="22"/>
        </w:rPr>
        <w:t xml:space="preserve">del modelo se </w:t>
      </w:r>
      <w:r w:rsidR="00B42972">
        <w:rPr>
          <w:sz w:val="22"/>
        </w:rPr>
        <w:t>pueden</w:t>
      </w:r>
      <w:r w:rsidR="00864090">
        <w:rPr>
          <w:sz w:val="22"/>
        </w:rPr>
        <w:t xml:space="preserve"> apreciar en la tabla </w:t>
      </w:r>
      <w:r w:rsidR="00B42972">
        <w:rPr>
          <w:sz w:val="22"/>
        </w:rPr>
        <w:t xml:space="preserve">2. </w:t>
      </w:r>
    </w:p>
    <w:p w14:paraId="02545230" w14:textId="77777777" w:rsidR="00864090" w:rsidRPr="00B42972" w:rsidRDefault="00864090" w:rsidP="00EA3662">
      <w:pPr>
        <w:autoSpaceDE w:val="0"/>
        <w:autoSpaceDN w:val="0"/>
        <w:adjustRightInd w:val="0"/>
        <w:rPr>
          <w:sz w:val="22"/>
        </w:rPr>
      </w:pPr>
    </w:p>
    <w:p w14:paraId="77E1A8EA" w14:textId="77777777" w:rsidR="00864090" w:rsidRPr="00340943" w:rsidRDefault="00B42972" w:rsidP="00EA3662">
      <w:pPr>
        <w:autoSpaceDE w:val="0"/>
        <w:autoSpaceDN w:val="0"/>
        <w:adjustRightInd w:val="0"/>
        <w:jc w:val="center"/>
        <w:rPr>
          <w:b/>
          <w:sz w:val="22"/>
        </w:rPr>
      </w:pPr>
      <w:r w:rsidRPr="00340943">
        <w:rPr>
          <w:b/>
          <w:sz w:val="22"/>
        </w:rPr>
        <w:t xml:space="preserve">Tabla 2. </w:t>
      </w:r>
      <w:r w:rsidRPr="00340943">
        <w:rPr>
          <w:b/>
          <w:sz w:val="22"/>
          <w:bdr w:val="none" w:sz="0" w:space="0" w:color="auto" w:frame="1"/>
        </w:rPr>
        <w:t>Coeficientes del modelo de regresión</w:t>
      </w:r>
    </w:p>
    <w:tbl>
      <w:tblPr>
        <w:tblStyle w:val="Tablanormal321"/>
        <w:tblW w:w="0" w:type="auto"/>
        <w:tblLook w:val="04A0" w:firstRow="1" w:lastRow="0" w:firstColumn="1" w:lastColumn="0" w:noHBand="0" w:noVBand="1"/>
      </w:tblPr>
      <w:tblGrid>
        <w:gridCol w:w="2127"/>
        <w:gridCol w:w="215"/>
        <w:gridCol w:w="1344"/>
        <w:gridCol w:w="284"/>
        <w:gridCol w:w="1230"/>
        <w:gridCol w:w="1184"/>
        <w:gridCol w:w="1303"/>
        <w:gridCol w:w="817"/>
      </w:tblGrid>
      <w:tr w:rsidR="00864090" w:rsidRPr="00B42972" w14:paraId="699031EF" w14:textId="77777777" w:rsidTr="000E5C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2" w:type="dxa"/>
            <w:gridSpan w:val="2"/>
            <w:tcBorders>
              <w:top w:val="single" w:sz="4" w:space="0" w:color="auto"/>
              <w:left w:val="nil"/>
            </w:tcBorders>
          </w:tcPr>
          <w:p w14:paraId="271A2308" w14:textId="77777777" w:rsidR="00864090" w:rsidRPr="00B42972" w:rsidRDefault="00864090" w:rsidP="00EA3662">
            <w:pPr>
              <w:spacing w:line="360" w:lineRule="auto"/>
              <w:rPr>
                <w:rFonts w:cs="Arial"/>
                <w:b w:val="0"/>
                <w:sz w:val="22"/>
                <w:bdr w:val="none" w:sz="0" w:space="0" w:color="auto" w:frame="1"/>
              </w:rPr>
            </w:pPr>
          </w:p>
        </w:tc>
        <w:tc>
          <w:tcPr>
            <w:tcW w:w="1628" w:type="dxa"/>
            <w:gridSpan w:val="2"/>
            <w:tcBorders>
              <w:top w:val="single" w:sz="4" w:space="0" w:color="auto"/>
              <w:left w:val="nil"/>
              <w:right w:val="nil"/>
            </w:tcBorders>
            <w:hideMark/>
          </w:tcPr>
          <w:p w14:paraId="30BEA46D" w14:textId="77777777" w:rsidR="00864090" w:rsidRPr="00B42972" w:rsidRDefault="00864090" w:rsidP="00EA3662">
            <w:pPr>
              <w:spacing w:line="360" w:lineRule="auto"/>
              <w:cnfStyle w:val="100000000000" w:firstRow="1" w:lastRow="0" w:firstColumn="0" w:lastColumn="0" w:oddVBand="0" w:evenVBand="0" w:oddHBand="0" w:evenHBand="0" w:firstRowFirstColumn="0" w:firstRowLastColumn="0" w:lastRowFirstColumn="0" w:lastRowLastColumn="0"/>
              <w:rPr>
                <w:rFonts w:cs="Arial"/>
                <w:b w:val="0"/>
                <w:i/>
                <w:sz w:val="22"/>
                <w:bdr w:val="none" w:sz="0" w:space="0" w:color="auto" w:frame="1"/>
              </w:rPr>
            </w:pPr>
            <w:r w:rsidRPr="00B42972">
              <w:rPr>
                <w:rFonts w:cs="Arial"/>
                <w:b w:val="0"/>
                <w:i/>
                <w:caps w:val="0"/>
                <w:sz w:val="22"/>
                <w:bdr w:val="none" w:sz="0" w:space="0" w:color="auto" w:frame="1"/>
              </w:rPr>
              <w:t>Estimación</w:t>
            </w:r>
          </w:p>
        </w:tc>
        <w:tc>
          <w:tcPr>
            <w:tcW w:w="1230" w:type="dxa"/>
            <w:tcBorders>
              <w:top w:val="single" w:sz="4" w:space="0" w:color="auto"/>
              <w:left w:val="nil"/>
              <w:right w:val="nil"/>
            </w:tcBorders>
            <w:hideMark/>
          </w:tcPr>
          <w:p w14:paraId="1CB6BE1F" w14:textId="77777777" w:rsidR="00864090" w:rsidRPr="00B42972" w:rsidRDefault="00864090" w:rsidP="00EA3662">
            <w:pPr>
              <w:spacing w:line="360" w:lineRule="auto"/>
              <w:cnfStyle w:val="100000000000" w:firstRow="1" w:lastRow="0" w:firstColumn="0" w:lastColumn="0" w:oddVBand="0" w:evenVBand="0" w:oddHBand="0" w:evenHBand="0" w:firstRowFirstColumn="0" w:firstRowLastColumn="0" w:lastRowFirstColumn="0" w:lastRowLastColumn="0"/>
              <w:rPr>
                <w:rFonts w:cs="Arial"/>
                <w:b w:val="0"/>
                <w:i/>
                <w:sz w:val="22"/>
                <w:bdr w:val="none" w:sz="0" w:space="0" w:color="auto" w:frame="1"/>
              </w:rPr>
            </w:pPr>
            <w:r w:rsidRPr="00B42972">
              <w:rPr>
                <w:rFonts w:cs="Arial"/>
                <w:b w:val="0"/>
                <w:i/>
                <w:caps w:val="0"/>
                <w:sz w:val="22"/>
                <w:bdr w:val="none" w:sz="0" w:space="0" w:color="auto" w:frame="1"/>
              </w:rPr>
              <w:t xml:space="preserve">Error </w:t>
            </w:r>
          </w:p>
        </w:tc>
        <w:tc>
          <w:tcPr>
            <w:tcW w:w="1184" w:type="dxa"/>
            <w:tcBorders>
              <w:top w:val="single" w:sz="4" w:space="0" w:color="auto"/>
              <w:left w:val="nil"/>
              <w:right w:val="nil"/>
            </w:tcBorders>
            <w:hideMark/>
          </w:tcPr>
          <w:p w14:paraId="29A85A8B" w14:textId="77777777" w:rsidR="00864090" w:rsidRPr="00B42972" w:rsidRDefault="00864090" w:rsidP="00EA3662">
            <w:pPr>
              <w:spacing w:line="360" w:lineRule="auto"/>
              <w:cnfStyle w:val="100000000000" w:firstRow="1" w:lastRow="0" w:firstColumn="0" w:lastColumn="0" w:oddVBand="0" w:evenVBand="0" w:oddHBand="0" w:evenHBand="0" w:firstRowFirstColumn="0" w:firstRowLastColumn="0" w:lastRowFirstColumn="0" w:lastRowLastColumn="0"/>
              <w:rPr>
                <w:rFonts w:cs="Arial"/>
                <w:b w:val="0"/>
                <w:i/>
                <w:sz w:val="22"/>
                <w:bdr w:val="none" w:sz="0" w:space="0" w:color="auto" w:frame="1"/>
              </w:rPr>
            </w:pPr>
            <w:r w:rsidRPr="00B42972">
              <w:rPr>
                <w:rFonts w:cs="Arial"/>
                <w:b w:val="0"/>
                <w:i/>
                <w:caps w:val="0"/>
                <w:sz w:val="22"/>
                <w:bdr w:val="none" w:sz="0" w:space="0" w:color="auto" w:frame="1"/>
              </w:rPr>
              <w:t>valor</w:t>
            </w:r>
            <w:r w:rsidRPr="00B42972">
              <w:rPr>
                <w:rFonts w:cs="Arial"/>
                <w:b w:val="0"/>
                <w:i/>
                <w:sz w:val="22"/>
                <w:bdr w:val="none" w:sz="0" w:space="0" w:color="auto" w:frame="1"/>
              </w:rPr>
              <w:t xml:space="preserve"> T</w:t>
            </w:r>
            <w:r w:rsidRPr="00B42972">
              <w:rPr>
                <w:rFonts w:cs="Arial"/>
                <w:b w:val="0"/>
                <w:i/>
                <w:caps w:val="0"/>
                <w:sz w:val="22"/>
                <w:bdr w:val="none" w:sz="0" w:space="0" w:color="auto" w:frame="1"/>
              </w:rPr>
              <w:t xml:space="preserve"> </w:t>
            </w:r>
          </w:p>
        </w:tc>
        <w:tc>
          <w:tcPr>
            <w:tcW w:w="1303" w:type="dxa"/>
            <w:tcBorders>
              <w:top w:val="single" w:sz="4" w:space="0" w:color="auto"/>
              <w:left w:val="nil"/>
              <w:right w:val="nil"/>
            </w:tcBorders>
            <w:hideMark/>
          </w:tcPr>
          <w:p w14:paraId="3AA65193" w14:textId="77777777" w:rsidR="00864090" w:rsidRPr="00B42972" w:rsidRDefault="00864090" w:rsidP="00EA3662">
            <w:pPr>
              <w:spacing w:line="360" w:lineRule="auto"/>
              <w:cnfStyle w:val="100000000000" w:firstRow="1" w:lastRow="0" w:firstColumn="0" w:lastColumn="0" w:oddVBand="0" w:evenVBand="0" w:oddHBand="0" w:evenHBand="0" w:firstRowFirstColumn="0" w:firstRowLastColumn="0" w:lastRowFirstColumn="0" w:lastRowLastColumn="0"/>
              <w:rPr>
                <w:rFonts w:cs="Arial"/>
                <w:b w:val="0"/>
                <w:i/>
                <w:sz w:val="22"/>
                <w:bdr w:val="none" w:sz="0" w:space="0" w:color="auto" w:frame="1"/>
              </w:rPr>
            </w:pPr>
            <w:r w:rsidRPr="00B42972">
              <w:rPr>
                <w:rFonts w:cs="Arial"/>
                <w:b w:val="0"/>
                <w:i/>
                <w:caps w:val="0"/>
                <w:sz w:val="22"/>
                <w:bdr w:val="none" w:sz="0" w:space="0" w:color="auto" w:frame="1"/>
              </w:rPr>
              <w:t>Pr(&gt;|t|)</w:t>
            </w:r>
          </w:p>
        </w:tc>
        <w:tc>
          <w:tcPr>
            <w:tcW w:w="817" w:type="dxa"/>
            <w:tcBorders>
              <w:top w:val="single" w:sz="4" w:space="0" w:color="auto"/>
              <w:left w:val="nil"/>
              <w:right w:val="nil"/>
            </w:tcBorders>
            <w:hideMark/>
          </w:tcPr>
          <w:p w14:paraId="19944E65" w14:textId="77777777" w:rsidR="00864090" w:rsidRPr="00B42972" w:rsidRDefault="00864090" w:rsidP="00EA3662">
            <w:pPr>
              <w:spacing w:line="360" w:lineRule="auto"/>
              <w:cnfStyle w:val="100000000000" w:firstRow="1" w:lastRow="0" w:firstColumn="0" w:lastColumn="0" w:oddVBand="0" w:evenVBand="0" w:oddHBand="0" w:evenHBand="0" w:firstRowFirstColumn="0" w:firstRowLastColumn="0" w:lastRowFirstColumn="0" w:lastRowLastColumn="0"/>
              <w:rPr>
                <w:rFonts w:cs="Arial"/>
                <w:b w:val="0"/>
                <w:i/>
                <w:sz w:val="22"/>
                <w:bdr w:val="none" w:sz="0" w:space="0" w:color="auto" w:frame="1"/>
              </w:rPr>
            </w:pPr>
            <w:r w:rsidRPr="00B42972">
              <w:rPr>
                <w:rFonts w:cs="Arial"/>
                <w:b w:val="0"/>
                <w:i/>
                <w:caps w:val="0"/>
                <w:sz w:val="22"/>
                <w:bdr w:val="none" w:sz="0" w:space="0" w:color="auto" w:frame="1"/>
              </w:rPr>
              <w:t xml:space="preserve">Sig. </w:t>
            </w:r>
          </w:p>
        </w:tc>
      </w:tr>
      <w:tr w:rsidR="00864090" w:rsidRPr="00B42972" w14:paraId="0C9EF4E3" w14:textId="77777777" w:rsidTr="000E5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hideMark/>
          </w:tcPr>
          <w:p w14:paraId="5BD89555" w14:textId="77777777" w:rsidR="00864090" w:rsidRPr="00B42972" w:rsidRDefault="00864090" w:rsidP="00EA3662">
            <w:pPr>
              <w:spacing w:line="360" w:lineRule="auto"/>
              <w:rPr>
                <w:rFonts w:cs="Arial"/>
                <w:b w:val="0"/>
                <w:sz w:val="22"/>
                <w:bdr w:val="none" w:sz="0" w:space="0" w:color="auto" w:frame="1"/>
              </w:rPr>
            </w:pPr>
            <w:r w:rsidRPr="00B42972">
              <w:rPr>
                <w:rFonts w:cs="Arial"/>
                <w:b w:val="0"/>
                <w:caps w:val="0"/>
                <w:sz w:val="22"/>
                <w:bdr w:val="none" w:sz="0" w:space="0" w:color="auto" w:frame="1"/>
              </w:rPr>
              <w:t>Intercepto</w:t>
            </w:r>
          </w:p>
        </w:tc>
        <w:tc>
          <w:tcPr>
            <w:tcW w:w="1559" w:type="dxa"/>
            <w:gridSpan w:val="2"/>
            <w:tcBorders>
              <w:top w:val="nil"/>
              <w:left w:val="nil"/>
              <w:bottom w:val="nil"/>
              <w:right w:val="nil"/>
            </w:tcBorders>
            <w:shd w:val="clear" w:color="auto" w:fill="auto"/>
            <w:hideMark/>
          </w:tcPr>
          <w:p w14:paraId="1EE5D338"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21"/>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8,9</w:t>
            </w:r>
          </w:p>
        </w:tc>
        <w:tc>
          <w:tcPr>
            <w:tcW w:w="1514" w:type="dxa"/>
            <w:gridSpan w:val="2"/>
            <w:tcBorders>
              <w:top w:val="nil"/>
              <w:left w:val="nil"/>
              <w:bottom w:val="nil"/>
              <w:right w:val="nil"/>
            </w:tcBorders>
            <w:shd w:val="clear" w:color="auto" w:fill="auto"/>
          </w:tcPr>
          <w:p w14:paraId="71E4D00D" w14:textId="77777777" w:rsidR="00864090" w:rsidRPr="00B42972" w:rsidRDefault="00864090" w:rsidP="00E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bdr w:val="none" w:sz="0" w:space="0" w:color="auto" w:frame="1"/>
                <w:lang w:val="en-US" w:eastAsia="es-ES"/>
              </w:rPr>
            </w:pPr>
            <w:r w:rsidRPr="00B42972">
              <w:rPr>
                <w:rFonts w:eastAsia="Times New Roman" w:cs="Arial"/>
                <w:color w:val="000000"/>
                <w:sz w:val="22"/>
                <w:bdr w:val="none" w:sz="0" w:space="0" w:color="auto" w:frame="1"/>
                <w:lang w:val="en-US" w:eastAsia="es-ES"/>
              </w:rPr>
              <w:t>3.42</w:t>
            </w:r>
          </w:p>
        </w:tc>
        <w:tc>
          <w:tcPr>
            <w:tcW w:w="1184" w:type="dxa"/>
            <w:tcBorders>
              <w:top w:val="nil"/>
              <w:left w:val="nil"/>
              <w:bottom w:val="nil"/>
              <w:right w:val="nil"/>
            </w:tcBorders>
            <w:shd w:val="clear" w:color="auto" w:fill="auto"/>
          </w:tcPr>
          <w:p w14:paraId="720E7237"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4"/>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2,60</w:t>
            </w:r>
          </w:p>
        </w:tc>
        <w:tc>
          <w:tcPr>
            <w:tcW w:w="1303" w:type="dxa"/>
            <w:tcBorders>
              <w:top w:val="nil"/>
              <w:left w:val="nil"/>
              <w:bottom w:val="nil"/>
              <w:right w:val="nil"/>
            </w:tcBorders>
            <w:shd w:val="clear" w:color="auto" w:fill="auto"/>
            <w:hideMark/>
          </w:tcPr>
          <w:p w14:paraId="2F408C9C"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9"/>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9</w:t>
            </w:r>
            <w:r w:rsidR="005355F6">
              <w:rPr>
                <w:rFonts w:eastAsia="Times New Roman" w:cs="Arial"/>
                <w:sz w:val="22"/>
                <w:bdr w:val="none" w:sz="0" w:space="0" w:color="auto" w:frame="1"/>
                <w:lang w:eastAsia="es-ES"/>
              </w:rPr>
              <w:t>,</w:t>
            </w:r>
            <w:r w:rsidRPr="00B42972">
              <w:rPr>
                <w:rFonts w:eastAsia="Times New Roman" w:cs="Arial"/>
                <w:sz w:val="22"/>
                <w:bdr w:val="none" w:sz="0" w:space="0" w:color="auto" w:frame="1"/>
                <w:lang w:eastAsia="es-ES"/>
              </w:rPr>
              <w:t>91</w:t>
            </w:r>
            <w:r w:rsidR="005355F6">
              <w:rPr>
                <w:rFonts w:eastAsia="Times New Roman" w:cs="Arial"/>
                <w:sz w:val="22"/>
                <w:bdr w:val="none" w:sz="0" w:space="0" w:color="auto" w:frame="1"/>
                <w:lang w:eastAsia="es-ES"/>
              </w:rPr>
              <w:t>e</w:t>
            </w:r>
            <w:r w:rsidR="005355F6" w:rsidRPr="005355F6">
              <w:rPr>
                <w:rFonts w:eastAsia="Times New Roman" w:cs="Arial"/>
                <w:sz w:val="22"/>
                <w:bdr w:val="none" w:sz="0" w:space="0" w:color="auto" w:frame="1"/>
                <w:vertAlign w:val="superscript"/>
                <w:lang w:eastAsia="es-ES"/>
              </w:rPr>
              <w:t>-3</w:t>
            </w:r>
          </w:p>
        </w:tc>
        <w:tc>
          <w:tcPr>
            <w:tcW w:w="817" w:type="dxa"/>
            <w:tcBorders>
              <w:top w:val="nil"/>
              <w:left w:val="nil"/>
              <w:bottom w:val="nil"/>
              <w:right w:val="nil"/>
            </w:tcBorders>
            <w:shd w:val="clear" w:color="auto" w:fill="auto"/>
            <w:hideMark/>
          </w:tcPr>
          <w:p w14:paraId="5A5F1469"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8"/>
              <w:jc w:val="left"/>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 xml:space="preserve">** </w:t>
            </w:r>
          </w:p>
        </w:tc>
      </w:tr>
      <w:tr w:rsidR="00864090" w:rsidRPr="00B42972" w14:paraId="05385DF1" w14:textId="77777777" w:rsidTr="000E5C8A">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hideMark/>
          </w:tcPr>
          <w:p w14:paraId="49255BCA"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Arial"/>
                <w:b w:val="0"/>
                <w:sz w:val="22"/>
                <w:bdr w:val="none" w:sz="0" w:space="0" w:color="auto" w:frame="1"/>
                <w:lang w:eastAsia="es-ES"/>
              </w:rPr>
            </w:pPr>
            <w:r w:rsidRPr="00B42972">
              <w:rPr>
                <w:rFonts w:eastAsia="Times New Roman" w:cs="Arial"/>
                <w:b w:val="0"/>
                <w:sz w:val="22"/>
                <w:bdr w:val="none" w:sz="0" w:space="0" w:color="auto" w:frame="1"/>
                <w:lang w:eastAsia="es-ES"/>
              </w:rPr>
              <w:t>PERD_T</w:t>
            </w:r>
          </w:p>
        </w:tc>
        <w:tc>
          <w:tcPr>
            <w:tcW w:w="1559" w:type="dxa"/>
            <w:gridSpan w:val="2"/>
            <w:tcBorders>
              <w:top w:val="nil"/>
              <w:left w:val="nil"/>
              <w:bottom w:val="nil"/>
              <w:right w:val="nil"/>
            </w:tcBorders>
            <w:shd w:val="clear" w:color="auto" w:fill="auto"/>
          </w:tcPr>
          <w:p w14:paraId="393F3E7B"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8"/>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-1,8</w:t>
            </w:r>
          </w:p>
        </w:tc>
        <w:tc>
          <w:tcPr>
            <w:tcW w:w="1514" w:type="dxa"/>
            <w:gridSpan w:val="2"/>
            <w:tcBorders>
              <w:top w:val="nil"/>
              <w:left w:val="nil"/>
              <w:bottom w:val="nil"/>
              <w:right w:val="nil"/>
            </w:tcBorders>
            <w:shd w:val="clear" w:color="auto" w:fill="auto"/>
          </w:tcPr>
          <w:p w14:paraId="4A4CD651" w14:textId="77777777" w:rsidR="00864090" w:rsidRPr="00B42972" w:rsidRDefault="00864090" w:rsidP="00E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bdr w:val="none" w:sz="0" w:space="0" w:color="auto" w:frame="1"/>
                <w:lang w:eastAsia="es-ES"/>
              </w:rPr>
            </w:pPr>
            <w:r w:rsidRPr="00B42972">
              <w:rPr>
                <w:rFonts w:eastAsia="Times New Roman" w:cs="Arial"/>
                <w:color w:val="000000"/>
                <w:sz w:val="22"/>
                <w:bdr w:val="none" w:sz="0" w:space="0" w:color="auto" w:frame="1"/>
                <w:lang w:eastAsia="es-ES"/>
              </w:rPr>
              <w:t>0.34</w:t>
            </w:r>
          </w:p>
        </w:tc>
        <w:tc>
          <w:tcPr>
            <w:tcW w:w="1184" w:type="dxa"/>
            <w:tcBorders>
              <w:top w:val="nil"/>
              <w:left w:val="nil"/>
              <w:bottom w:val="nil"/>
              <w:right w:val="nil"/>
            </w:tcBorders>
            <w:shd w:val="clear" w:color="auto" w:fill="auto"/>
          </w:tcPr>
          <w:p w14:paraId="00C6AEE8"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2"/>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-5,21</w:t>
            </w:r>
          </w:p>
        </w:tc>
        <w:tc>
          <w:tcPr>
            <w:tcW w:w="1303" w:type="dxa"/>
            <w:tcBorders>
              <w:top w:val="nil"/>
              <w:left w:val="nil"/>
              <w:bottom w:val="nil"/>
              <w:right w:val="nil"/>
            </w:tcBorders>
            <w:shd w:val="clear" w:color="auto" w:fill="auto"/>
            <w:hideMark/>
          </w:tcPr>
          <w:p w14:paraId="6130A6B6"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7"/>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4,68e</w:t>
            </w:r>
            <w:r w:rsidRPr="00B42972">
              <w:rPr>
                <w:rFonts w:eastAsia="Times New Roman" w:cs="Arial"/>
                <w:sz w:val="22"/>
                <w:bdr w:val="none" w:sz="0" w:space="0" w:color="auto" w:frame="1"/>
                <w:vertAlign w:val="superscript"/>
                <w:lang w:eastAsia="es-ES"/>
              </w:rPr>
              <w:t>-07</w:t>
            </w:r>
          </w:p>
        </w:tc>
        <w:tc>
          <w:tcPr>
            <w:tcW w:w="817" w:type="dxa"/>
            <w:tcBorders>
              <w:top w:val="nil"/>
              <w:left w:val="nil"/>
              <w:bottom w:val="nil"/>
              <w:right w:val="nil"/>
            </w:tcBorders>
            <w:shd w:val="clear" w:color="auto" w:fill="auto"/>
            <w:hideMark/>
          </w:tcPr>
          <w:p w14:paraId="2278894F"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8"/>
              <w:jc w:val="left"/>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w:t>
            </w:r>
          </w:p>
        </w:tc>
      </w:tr>
      <w:tr w:rsidR="00864090" w:rsidRPr="00B42972" w14:paraId="368DA0F3" w14:textId="77777777" w:rsidTr="000E5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hideMark/>
          </w:tcPr>
          <w:p w14:paraId="5E78898A"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Arial"/>
                <w:b w:val="0"/>
                <w:sz w:val="22"/>
                <w:bdr w:val="none" w:sz="0" w:space="0" w:color="auto" w:frame="1"/>
                <w:lang w:eastAsia="es-ES"/>
              </w:rPr>
            </w:pPr>
            <w:r w:rsidRPr="00B42972">
              <w:rPr>
                <w:rFonts w:eastAsia="Times New Roman" w:cs="Arial"/>
                <w:b w:val="0"/>
                <w:sz w:val="22"/>
                <w:bdr w:val="none" w:sz="0" w:space="0" w:color="auto" w:frame="1"/>
                <w:lang w:eastAsia="es-ES"/>
              </w:rPr>
              <w:t>PERD_T</w:t>
            </w:r>
            <w:r w:rsidRPr="00B42972">
              <w:rPr>
                <w:rFonts w:eastAsia="Times New Roman" w:cs="Arial"/>
                <w:b w:val="0"/>
                <w:sz w:val="22"/>
                <w:bdr w:val="none" w:sz="0" w:space="0" w:color="auto" w:frame="1"/>
                <w:vertAlign w:val="superscript"/>
                <w:lang w:eastAsia="es-ES"/>
              </w:rPr>
              <w:t>2</w:t>
            </w:r>
          </w:p>
        </w:tc>
        <w:tc>
          <w:tcPr>
            <w:tcW w:w="1559" w:type="dxa"/>
            <w:gridSpan w:val="2"/>
            <w:tcBorders>
              <w:top w:val="nil"/>
              <w:left w:val="nil"/>
              <w:bottom w:val="nil"/>
              <w:right w:val="nil"/>
            </w:tcBorders>
            <w:shd w:val="clear" w:color="auto" w:fill="auto"/>
          </w:tcPr>
          <w:p w14:paraId="51416CAA"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75"/>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0,07</w:t>
            </w:r>
          </w:p>
        </w:tc>
        <w:tc>
          <w:tcPr>
            <w:tcW w:w="1514" w:type="dxa"/>
            <w:gridSpan w:val="2"/>
            <w:tcBorders>
              <w:top w:val="nil"/>
              <w:left w:val="nil"/>
              <w:bottom w:val="nil"/>
              <w:right w:val="nil"/>
            </w:tcBorders>
            <w:shd w:val="clear" w:color="auto" w:fill="auto"/>
          </w:tcPr>
          <w:p w14:paraId="55F2A76C" w14:textId="77777777" w:rsidR="00864090" w:rsidRPr="00B42972" w:rsidRDefault="00864090" w:rsidP="00E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2"/>
                <w:bdr w:val="none" w:sz="0" w:space="0" w:color="auto" w:frame="1"/>
                <w:lang w:eastAsia="es-ES"/>
              </w:rPr>
            </w:pPr>
            <w:r w:rsidRPr="00B42972">
              <w:rPr>
                <w:rFonts w:eastAsia="Times New Roman" w:cs="Arial"/>
                <w:color w:val="000000"/>
                <w:sz w:val="22"/>
                <w:bdr w:val="none" w:sz="0" w:space="0" w:color="auto" w:frame="1"/>
                <w:lang w:eastAsia="es-ES"/>
              </w:rPr>
              <w:t>0.0087</w:t>
            </w:r>
          </w:p>
        </w:tc>
        <w:tc>
          <w:tcPr>
            <w:tcW w:w="1184" w:type="dxa"/>
            <w:tcBorders>
              <w:top w:val="nil"/>
              <w:left w:val="nil"/>
              <w:bottom w:val="nil"/>
              <w:right w:val="nil"/>
            </w:tcBorders>
            <w:shd w:val="clear" w:color="auto" w:fill="auto"/>
          </w:tcPr>
          <w:p w14:paraId="590DC921"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8,26</w:t>
            </w:r>
          </w:p>
        </w:tc>
        <w:tc>
          <w:tcPr>
            <w:tcW w:w="1303" w:type="dxa"/>
            <w:tcBorders>
              <w:top w:val="nil"/>
              <w:left w:val="nil"/>
              <w:bottom w:val="nil"/>
              <w:right w:val="nil"/>
            </w:tcBorders>
            <w:shd w:val="clear" w:color="auto" w:fill="auto"/>
            <w:hideMark/>
          </w:tcPr>
          <w:p w14:paraId="00E9CA3D"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
              <w:jc w:val="center"/>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2,17e</w:t>
            </w:r>
            <w:r w:rsidRPr="00B42972">
              <w:rPr>
                <w:rFonts w:eastAsia="Times New Roman" w:cs="Arial"/>
                <w:sz w:val="22"/>
                <w:bdr w:val="none" w:sz="0" w:space="0" w:color="auto" w:frame="1"/>
                <w:vertAlign w:val="superscript"/>
                <w:lang w:eastAsia="es-ES"/>
              </w:rPr>
              <w:t>-14</w:t>
            </w:r>
          </w:p>
        </w:tc>
        <w:tc>
          <w:tcPr>
            <w:tcW w:w="817" w:type="dxa"/>
            <w:tcBorders>
              <w:top w:val="nil"/>
              <w:left w:val="nil"/>
              <w:bottom w:val="nil"/>
              <w:right w:val="nil"/>
            </w:tcBorders>
            <w:shd w:val="clear" w:color="auto" w:fill="auto"/>
            <w:hideMark/>
          </w:tcPr>
          <w:p w14:paraId="24003212"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7"/>
              <w:jc w:val="left"/>
              <w:cnfStyle w:val="000000100000" w:firstRow="0" w:lastRow="0" w:firstColumn="0" w:lastColumn="0" w:oddVBand="0" w:evenVBand="0" w:oddHBand="1"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w:t>
            </w:r>
          </w:p>
        </w:tc>
      </w:tr>
      <w:tr w:rsidR="00864090" w:rsidRPr="00B42972" w14:paraId="7F617B21" w14:textId="77777777" w:rsidTr="000E5C8A">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tcBorders>
            <w:shd w:val="clear" w:color="auto" w:fill="auto"/>
          </w:tcPr>
          <w:p w14:paraId="72646965"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Arial"/>
                <w:b w:val="0"/>
                <w:sz w:val="22"/>
                <w:bdr w:val="none" w:sz="0" w:space="0" w:color="auto" w:frame="1"/>
                <w:lang w:eastAsia="es-ES"/>
              </w:rPr>
            </w:pPr>
            <w:r w:rsidRPr="00B42972">
              <w:rPr>
                <w:rFonts w:eastAsia="Times New Roman" w:cs="Arial"/>
                <w:b w:val="0"/>
                <w:sz w:val="22"/>
                <w:bdr w:val="none" w:sz="0" w:space="0" w:color="auto" w:frame="1"/>
                <w:lang w:eastAsia="es-ES"/>
              </w:rPr>
              <w:t>Precio</w:t>
            </w:r>
          </w:p>
        </w:tc>
        <w:tc>
          <w:tcPr>
            <w:tcW w:w="1559" w:type="dxa"/>
            <w:gridSpan w:val="2"/>
            <w:tcBorders>
              <w:top w:val="nil"/>
              <w:left w:val="nil"/>
              <w:bottom w:val="nil"/>
              <w:right w:val="nil"/>
            </w:tcBorders>
            <w:shd w:val="clear" w:color="auto" w:fill="auto"/>
          </w:tcPr>
          <w:p w14:paraId="112C4B6B"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21"/>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0,01</w:t>
            </w:r>
          </w:p>
        </w:tc>
        <w:tc>
          <w:tcPr>
            <w:tcW w:w="1514" w:type="dxa"/>
            <w:gridSpan w:val="2"/>
            <w:tcBorders>
              <w:top w:val="nil"/>
              <w:left w:val="nil"/>
              <w:bottom w:val="nil"/>
              <w:right w:val="nil"/>
            </w:tcBorders>
            <w:shd w:val="clear" w:color="auto" w:fill="auto"/>
          </w:tcPr>
          <w:p w14:paraId="6B5607EF" w14:textId="77777777" w:rsidR="00864090" w:rsidRPr="00B42972" w:rsidRDefault="00864090" w:rsidP="00E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2"/>
                <w:bdr w:val="none" w:sz="0" w:space="0" w:color="auto" w:frame="1"/>
                <w:lang w:eastAsia="es-ES"/>
              </w:rPr>
            </w:pPr>
            <w:r w:rsidRPr="00B42972">
              <w:rPr>
                <w:rFonts w:eastAsia="Times New Roman" w:cs="Arial"/>
                <w:color w:val="000000"/>
                <w:sz w:val="22"/>
                <w:bdr w:val="none" w:sz="0" w:space="0" w:color="auto" w:frame="1"/>
                <w:lang w:eastAsia="es-ES"/>
              </w:rPr>
              <w:t>0.0011</w:t>
            </w:r>
          </w:p>
        </w:tc>
        <w:tc>
          <w:tcPr>
            <w:tcW w:w="1184" w:type="dxa"/>
            <w:tcBorders>
              <w:top w:val="nil"/>
              <w:left w:val="nil"/>
              <w:bottom w:val="nil"/>
              <w:right w:val="nil"/>
            </w:tcBorders>
            <w:shd w:val="clear" w:color="auto" w:fill="auto"/>
          </w:tcPr>
          <w:p w14:paraId="5E7B4147"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22"/>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13,13</w:t>
            </w:r>
          </w:p>
        </w:tc>
        <w:tc>
          <w:tcPr>
            <w:tcW w:w="1303" w:type="dxa"/>
            <w:tcBorders>
              <w:top w:val="nil"/>
              <w:left w:val="nil"/>
              <w:bottom w:val="nil"/>
              <w:right w:val="nil"/>
            </w:tcBorders>
            <w:shd w:val="clear" w:color="auto" w:fill="auto"/>
          </w:tcPr>
          <w:p w14:paraId="39841889"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9"/>
              <w:jc w:val="center"/>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&lt; 2e</w:t>
            </w:r>
            <w:r w:rsidRPr="00B42972">
              <w:rPr>
                <w:rFonts w:eastAsia="Times New Roman" w:cs="Arial"/>
                <w:sz w:val="22"/>
                <w:bdr w:val="none" w:sz="0" w:space="0" w:color="auto" w:frame="1"/>
                <w:vertAlign w:val="superscript"/>
                <w:lang w:eastAsia="es-ES"/>
              </w:rPr>
              <w:t>-16</w:t>
            </w:r>
          </w:p>
        </w:tc>
        <w:tc>
          <w:tcPr>
            <w:tcW w:w="817" w:type="dxa"/>
            <w:tcBorders>
              <w:top w:val="nil"/>
              <w:left w:val="nil"/>
              <w:bottom w:val="nil"/>
              <w:right w:val="nil"/>
            </w:tcBorders>
            <w:shd w:val="clear" w:color="auto" w:fill="auto"/>
          </w:tcPr>
          <w:p w14:paraId="1BAE0E26" w14:textId="77777777" w:rsidR="00864090" w:rsidRPr="00B42972" w:rsidRDefault="00864090" w:rsidP="00EA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8"/>
              <w:jc w:val="left"/>
              <w:cnfStyle w:val="000000000000" w:firstRow="0" w:lastRow="0" w:firstColumn="0" w:lastColumn="0" w:oddVBand="0" w:evenVBand="0" w:oddHBand="0" w:evenHBand="0" w:firstRowFirstColumn="0" w:firstRowLastColumn="0" w:lastRowFirstColumn="0" w:lastRowLastColumn="0"/>
              <w:rPr>
                <w:rFonts w:eastAsia="Times New Roman" w:cs="Arial"/>
                <w:sz w:val="22"/>
                <w:bdr w:val="none" w:sz="0" w:space="0" w:color="auto" w:frame="1"/>
                <w:lang w:eastAsia="es-ES"/>
              </w:rPr>
            </w:pPr>
            <w:r w:rsidRPr="00B42972">
              <w:rPr>
                <w:rFonts w:eastAsia="Times New Roman" w:cs="Arial"/>
                <w:sz w:val="22"/>
                <w:bdr w:val="none" w:sz="0" w:space="0" w:color="auto" w:frame="1"/>
                <w:lang w:eastAsia="es-ES"/>
              </w:rPr>
              <w:t>***</w:t>
            </w:r>
          </w:p>
        </w:tc>
      </w:tr>
      <w:tr w:rsidR="00864090" w:rsidRPr="00B42972" w14:paraId="634770EC" w14:textId="77777777" w:rsidTr="000E5C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8"/>
            <w:tcBorders>
              <w:top w:val="single" w:sz="4" w:space="0" w:color="auto"/>
              <w:left w:val="nil"/>
              <w:bottom w:val="single" w:sz="4" w:space="0" w:color="auto"/>
              <w:right w:val="nil"/>
            </w:tcBorders>
            <w:shd w:val="clear" w:color="auto" w:fill="auto"/>
            <w:hideMark/>
          </w:tcPr>
          <w:p w14:paraId="59BD8B16" w14:textId="77777777" w:rsidR="00864090" w:rsidRPr="00B42972" w:rsidRDefault="00864090" w:rsidP="00EA3662">
            <w:pPr>
              <w:spacing w:line="360" w:lineRule="auto"/>
              <w:rPr>
                <w:rFonts w:cs="Arial"/>
                <w:b w:val="0"/>
                <w:sz w:val="22"/>
                <w:bdr w:val="none" w:sz="0" w:space="0" w:color="auto" w:frame="1"/>
              </w:rPr>
            </w:pPr>
            <w:r w:rsidRPr="00B42972">
              <w:rPr>
                <w:rFonts w:cs="Arial"/>
                <w:b w:val="0"/>
                <w:caps w:val="0"/>
                <w:sz w:val="22"/>
                <w:bdr w:val="none" w:sz="0" w:space="0" w:color="auto" w:frame="1"/>
              </w:rPr>
              <w:t>Significancia: 0 ‘</w:t>
            </w:r>
            <w:r w:rsidRPr="00B42972">
              <w:rPr>
                <w:rFonts w:cs="Arial"/>
                <w:b w:val="0"/>
                <w:sz w:val="22"/>
                <w:bdr w:val="none" w:sz="0" w:space="0" w:color="auto" w:frame="1"/>
              </w:rPr>
              <w:t>***’ 0,001 ‘**’ 0,01 ‘*’ 0,05 ‘.’ 0,1 ‘ ’ 1</w:t>
            </w:r>
          </w:p>
          <w:p w14:paraId="578DAC9F" w14:textId="77777777" w:rsidR="00864090" w:rsidRPr="00B42972" w:rsidRDefault="00864090" w:rsidP="00EA3662">
            <w:pPr>
              <w:spacing w:line="360" w:lineRule="auto"/>
              <w:rPr>
                <w:rFonts w:cs="Arial"/>
                <w:b w:val="0"/>
                <w:sz w:val="22"/>
                <w:bdr w:val="none" w:sz="0" w:space="0" w:color="auto" w:frame="1"/>
              </w:rPr>
            </w:pPr>
            <w:r w:rsidRPr="00B42972">
              <w:rPr>
                <w:rFonts w:cs="Arial"/>
                <w:b w:val="0"/>
                <w:caps w:val="0"/>
                <w:sz w:val="22"/>
                <w:bdr w:val="none" w:sz="0" w:space="0" w:color="auto" w:frame="1"/>
              </w:rPr>
              <w:t xml:space="preserve">Error estándar residual: </w:t>
            </w:r>
            <w:r w:rsidR="005355F6">
              <w:rPr>
                <w:rFonts w:eastAsia="Times New Roman" w:cs="Arial"/>
                <w:b w:val="0"/>
                <w:color w:val="000000"/>
                <w:sz w:val="22"/>
                <w:bdr w:val="none" w:sz="0" w:space="0" w:color="auto" w:frame="1"/>
                <w:lang w:eastAsia="es-ES"/>
              </w:rPr>
              <w:t>1,80</w:t>
            </w:r>
            <w:r w:rsidRPr="00B42972">
              <w:rPr>
                <w:rFonts w:eastAsia="Times New Roman" w:cs="Arial"/>
                <w:color w:val="000000"/>
                <w:sz w:val="22"/>
                <w:bdr w:val="none" w:sz="0" w:space="0" w:color="auto" w:frame="1"/>
                <w:lang w:eastAsia="es-ES"/>
              </w:rPr>
              <w:t xml:space="preserve"> </w:t>
            </w:r>
            <w:r w:rsidRPr="00B42972">
              <w:rPr>
                <w:rFonts w:cs="Arial"/>
                <w:b w:val="0"/>
                <w:caps w:val="0"/>
                <w:sz w:val="22"/>
                <w:bdr w:val="none" w:sz="0" w:space="0" w:color="auto" w:frame="1"/>
              </w:rPr>
              <w:t>con 196 grados de libertad</w:t>
            </w:r>
          </w:p>
          <w:p w14:paraId="71244399" w14:textId="77777777" w:rsidR="00864090" w:rsidRPr="00B42972" w:rsidRDefault="00864090" w:rsidP="00EA3662">
            <w:pPr>
              <w:spacing w:line="360" w:lineRule="auto"/>
              <w:rPr>
                <w:rFonts w:cs="Arial"/>
                <w:b w:val="0"/>
                <w:sz w:val="22"/>
                <w:bdr w:val="none" w:sz="0" w:space="0" w:color="auto" w:frame="1"/>
              </w:rPr>
            </w:pPr>
            <w:r w:rsidRPr="00B42972">
              <w:rPr>
                <w:rFonts w:cs="Arial"/>
                <w:b w:val="0"/>
                <w:sz w:val="22"/>
                <w:bdr w:val="none" w:sz="0" w:space="0" w:color="auto" w:frame="1"/>
              </w:rPr>
              <w:t>R</w:t>
            </w:r>
            <w:r w:rsidRPr="00B42972">
              <w:rPr>
                <w:rFonts w:cs="Arial"/>
                <w:b w:val="0"/>
                <w:sz w:val="22"/>
                <w:bdr w:val="none" w:sz="0" w:space="0" w:color="auto" w:frame="1"/>
                <w:vertAlign w:val="superscript"/>
              </w:rPr>
              <w:t>2</w:t>
            </w:r>
            <w:r w:rsidRPr="00B42972">
              <w:rPr>
                <w:rFonts w:cs="Arial"/>
                <w:b w:val="0"/>
                <w:caps w:val="0"/>
                <w:sz w:val="22"/>
                <w:bdr w:val="none" w:sz="0" w:space="0" w:color="auto" w:frame="1"/>
              </w:rPr>
              <w:t xml:space="preserve"> múltiple:  0,82,</w:t>
            </w:r>
            <w:r w:rsidRPr="00B42972">
              <w:rPr>
                <w:rFonts w:cs="Arial"/>
                <w:b w:val="0"/>
                <w:caps w:val="0"/>
                <w:sz w:val="22"/>
                <w:bdr w:val="none" w:sz="0" w:space="0" w:color="auto" w:frame="1"/>
              </w:rPr>
              <w:tab/>
              <w:t>R</w:t>
            </w:r>
            <w:r w:rsidRPr="00B42972">
              <w:rPr>
                <w:rFonts w:cs="Arial"/>
                <w:b w:val="0"/>
                <w:sz w:val="22"/>
                <w:bdr w:val="none" w:sz="0" w:space="0" w:color="auto" w:frame="1"/>
                <w:vertAlign w:val="superscript"/>
              </w:rPr>
              <w:t>2</w:t>
            </w:r>
            <w:r w:rsidRPr="00B42972">
              <w:rPr>
                <w:rFonts w:cs="Arial"/>
                <w:b w:val="0"/>
                <w:caps w:val="0"/>
                <w:sz w:val="22"/>
                <w:bdr w:val="none" w:sz="0" w:space="0" w:color="auto" w:frame="1"/>
              </w:rPr>
              <w:t xml:space="preserve"> ajustado:  0,82 </w:t>
            </w:r>
          </w:p>
          <w:p w14:paraId="17423DBE" w14:textId="77777777" w:rsidR="00864090" w:rsidRPr="00B42972" w:rsidRDefault="00864090" w:rsidP="00EA3662">
            <w:pPr>
              <w:spacing w:line="360" w:lineRule="auto"/>
              <w:rPr>
                <w:rFonts w:cs="Arial"/>
                <w:b w:val="0"/>
                <w:sz w:val="22"/>
                <w:bdr w:val="none" w:sz="0" w:space="0" w:color="auto" w:frame="1"/>
              </w:rPr>
            </w:pPr>
            <w:r w:rsidRPr="00B42972">
              <w:rPr>
                <w:rFonts w:cs="Arial"/>
                <w:b w:val="0"/>
                <w:caps w:val="0"/>
                <w:sz w:val="22"/>
                <w:bdr w:val="none" w:sz="0" w:space="0" w:color="auto" w:frame="1"/>
              </w:rPr>
              <w:t xml:space="preserve">Estadígrafo F:  305 en 3 y </w:t>
            </w:r>
            <w:r w:rsidRPr="00B42972">
              <w:rPr>
                <w:rFonts w:cs="Arial"/>
                <w:b w:val="0"/>
                <w:i/>
                <w:caps w:val="0"/>
                <w:sz w:val="22"/>
                <w:bdr w:val="none" w:sz="0" w:space="0" w:color="auto" w:frame="1"/>
              </w:rPr>
              <w:t>p-</w:t>
            </w:r>
            <w:proofErr w:type="spellStart"/>
            <w:r w:rsidRPr="00B42972">
              <w:rPr>
                <w:rFonts w:cs="Arial"/>
                <w:b w:val="0"/>
                <w:i/>
                <w:caps w:val="0"/>
                <w:sz w:val="22"/>
                <w:bdr w:val="none" w:sz="0" w:space="0" w:color="auto" w:frame="1"/>
              </w:rPr>
              <w:t>value</w:t>
            </w:r>
            <w:proofErr w:type="spellEnd"/>
            <w:r w:rsidRPr="00B42972">
              <w:rPr>
                <w:rFonts w:cs="Arial"/>
                <w:b w:val="0"/>
                <w:i/>
                <w:caps w:val="0"/>
                <w:sz w:val="22"/>
                <w:bdr w:val="none" w:sz="0" w:space="0" w:color="auto" w:frame="1"/>
              </w:rPr>
              <w:t>:</w:t>
            </w:r>
            <w:r w:rsidRPr="00B42972">
              <w:rPr>
                <w:rFonts w:cs="Arial"/>
                <w:b w:val="0"/>
                <w:caps w:val="0"/>
                <w:sz w:val="22"/>
                <w:bdr w:val="none" w:sz="0" w:space="0" w:color="auto" w:frame="1"/>
              </w:rPr>
              <w:t xml:space="preserve"> &lt; 2,2e</w:t>
            </w:r>
            <w:r w:rsidRPr="00B42972">
              <w:rPr>
                <w:rFonts w:cs="Arial"/>
                <w:b w:val="0"/>
                <w:caps w:val="0"/>
                <w:sz w:val="22"/>
                <w:bdr w:val="none" w:sz="0" w:space="0" w:color="auto" w:frame="1"/>
                <w:vertAlign w:val="superscript"/>
              </w:rPr>
              <w:t>-16</w:t>
            </w:r>
          </w:p>
        </w:tc>
      </w:tr>
    </w:tbl>
    <w:p w14:paraId="46C3F1D7" w14:textId="77777777" w:rsidR="00864090" w:rsidRPr="00864090" w:rsidRDefault="00864090" w:rsidP="00EA3662">
      <w:pPr>
        <w:autoSpaceDE w:val="0"/>
        <w:autoSpaceDN w:val="0"/>
        <w:adjustRightInd w:val="0"/>
        <w:rPr>
          <w:sz w:val="22"/>
        </w:rPr>
      </w:pPr>
    </w:p>
    <w:p w14:paraId="6621925B" w14:textId="3D8D2684" w:rsidR="002152B3" w:rsidRPr="00B01233" w:rsidRDefault="002152B3" w:rsidP="00EA3662">
      <w:pPr>
        <w:autoSpaceDE w:val="0"/>
        <w:autoSpaceDN w:val="0"/>
        <w:adjustRightInd w:val="0"/>
        <w:rPr>
          <w:sz w:val="22"/>
        </w:rPr>
      </w:pPr>
      <w:r w:rsidRPr="00B01233">
        <w:rPr>
          <w:sz w:val="22"/>
        </w:rPr>
        <w:t>Las determinaciones realizadas en esta investigación</w:t>
      </w:r>
      <w:r w:rsidR="00B42972">
        <w:rPr>
          <w:sz w:val="22"/>
        </w:rPr>
        <w:t xml:space="preserve"> permiten representar en un </w:t>
      </w:r>
      <w:r w:rsidR="006A253E">
        <w:rPr>
          <w:sz w:val="22"/>
        </w:rPr>
        <w:t>modelo de polinomio (</w:t>
      </w:r>
      <w:r w:rsidR="00340943">
        <w:rPr>
          <w:sz w:val="22"/>
        </w:rPr>
        <w:t>Figura</w:t>
      </w:r>
      <w:r w:rsidR="006A253E">
        <w:rPr>
          <w:sz w:val="22"/>
        </w:rPr>
        <w:t xml:space="preserve"> </w:t>
      </w:r>
      <w:r w:rsidR="00D338B4">
        <w:rPr>
          <w:sz w:val="22"/>
        </w:rPr>
        <w:t>2</w:t>
      </w:r>
      <w:r w:rsidRPr="00B01233">
        <w:rPr>
          <w:sz w:val="22"/>
        </w:rPr>
        <w:t xml:space="preserve">), el índice de perjuicios </w:t>
      </w: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Pr="00B01233">
        <w:rPr>
          <w:sz w:val="22"/>
          <w:lang w:eastAsia="es-ES"/>
        </w:rPr>
        <w:t>,</w:t>
      </w:r>
      <w:r w:rsidRPr="00B01233">
        <w:rPr>
          <w:sz w:val="22"/>
        </w:rPr>
        <w:t xml:space="preserve"> mediante el cual se aprecia cómo las pérdidas pueden ocasionar, en términos económicos, un alejamiento del potencial azucarero de hasta 30 </w:t>
      </w:r>
      <w:r w:rsidRPr="00B01233">
        <w:rPr>
          <w:sz w:val="22"/>
          <w:lang w:eastAsia="es-ES"/>
        </w:rPr>
        <w:t xml:space="preserve">USD </w:t>
      </w:r>
      <w:r w:rsidRPr="00B01233">
        <w:rPr>
          <w:sz w:val="22"/>
        </w:rPr>
        <w:t>t</w:t>
      </w:r>
      <w:r w:rsidRPr="00B01233">
        <w:rPr>
          <w:sz w:val="22"/>
          <w:vertAlign w:val="superscript"/>
        </w:rPr>
        <w:t>-1</w:t>
      </w:r>
      <w:r w:rsidRPr="00B01233">
        <w:rPr>
          <w:sz w:val="22"/>
        </w:rPr>
        <w:t xml:space="preserve"> de caña molida a escala diaria, en función de los parámetros analizados. </w:t>
      </w:r>
    </w:p>
    <w:tbl>
      <w:tblPr>
        <w:tblStyle w:val="Tablaconcuadrcu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4013"/>
      </w:tblGrid>
      <w:tr w:rsidR="002152B3" w:rsidRPr="00B01233" w14:paraId="1295EAC4" w14:textId="77777777" w:rsidTr="000E5C8A">
        <w:trPr>
          <w:jc w:val="center"/>
        </w:trPr>
        <w:tc>
          <w:tcPr>
            <w:tcW w:w="4815" w:type="dxa"/>
          </w:tcPr>
          <w:p w14:paraId="30F89150" w14:textId="77777777" w:rsidR="002152B3" w:rsidRPr="00B01233" w:rsidRDefault="002152B3" w:rsidP="00EA3662">
            <w:pPr>
              <w:autoSpaceDE w:val="0"/>
              <w:autoSpaceDN w:val="0"/>
              <w:adjustRightInd w:val="0"/>
              <w:spacing w:line="360" w:lineRule="auto"/>
              <w:jc w:val="center"/>
              <w:rPr>
                <w:rFonts w:cs="Arial"/>
                <w:sz w:val="22"/>
              </w:rPr>
            </w:pPr>
            <w:r w:rsidRPr="00B01233">
              <w:rPr>
                <w:noProof/>
                <w:sz w:val="22"/>
                <w:lang w:val="es-MX" w:eastAsia="es-MX"/>
              </w:rPr>
              <w:drawing>
                <wp:inline distT="0" distB="0" distL="0" distR="0" wp14:anchorId="63895F4C" wp14:editId="2819CACA">
                  <wp:extent cx="2845515" cy="20841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01" b="2701"/>
                          <a:stretch/>
                        </pic:blipFill>
                        <pic:spPr bwMode="auto">
                          <a:xfrm>
                            <a:off x="0" y="0"/>
                            <a:ext cx="2863246" cy="2097160"/>
                          </a:xfrm>
                          <a:prstGeom prst="rect">
                            <a:avLst/>
                          </a:prstGeom>
                          <a:ln>
                            <a:noFill/>
                          </a:ln>
                          <a:extLst>
                            <a:ext uri="{53640926-AAD7-44D8-BBD7-CCE9431645EC}">
                              <a14:shadowObscured xmlns:a14="http://schemas.microsoft.com/office/drawing/2010/main"/>
                            </a:ext>
                          </a:extLst>
                        </pic:spPr>
                      </pic:pic>
                    </a:graphicData>
                  </a:graphic>
                </wp:inline>
              </w:drawing>
            </w:r>
            <w:r w:rsidRPr="00B01233">
              <w:rPr>
                <w:rFonts w:cs="Arial"/>
                <w:sz w:val="22"/>
                <w:lang w:val="es-DO"/>
              </w:rPr>
              <w:t xml:space="preserve"> </w:t>
            </w:r>
            <w:r w:rsidRPr="00B01233">
              <w:rPr>
                <w:rFonts w:cs="Arial"/>
                <w:sz w:val="22"/>
              </w:rPr>
              <w:t>a)</w:t>
            </w:r>
          </w:p>
        </w:tc>
        <w:tc>
          <w:tcPr>
            <w:tcW w:w="4013" w:type="dxa"/>
          </w:tcPr>
          <w:p w14:paraId="4AEB8540" w14:textId="77777777" w:rsidR="002152B3" w:rsidRPr="00B01233" w:rsidRDefault="002152B3" w:rsidP="00EA3662">
            <w:pPr>
              <w:autoSpaceDE w:val="0"/>
              <w:autoSpaceDN w:val="0"/>
              <w:adjustRightInd w:val="0"/>
              <w:spacing w:line="360" w:lineRule="auto"/>
              <w:jc w:val="left"/>
              <w:rPr>
                <w:noProof/>
                <w:sz w:val="22"/>
                <w:lang w:eastAsia="es-ES"/>
              </w:rPr>
            </w:pPr>
          </w:p>
          <w:p w14:paraId="4863C443" w14:textId="77777777" w:rsidR="006A253E" w:rsidRDefault="002152B3" w:rsidP="00EA3662">
            <w:pPr>
              <w:autoSpaceDE w:val="0"/>
              <w:autoSpaceDN w:val="0"/>
              <w:adjustRightInd w:val="0"/>
              <w:spacing w:line="360" w:lineRule="auto"/>
              <w:jc w:val="center"/>
              <w:rPr>
                <w:rFonts w:cs="Arial"/>
                <w:sz w:val="22"/>
              </w:rPr>
            </w:pPr>
            <w:r w:rsidRPr="00B01233">
              <w:rPr>
                <w:noProof/>
                <w:sz w:val="22"/>
                <w:lang w:val="es-MX" w:eastAsia="es-MX"/>
              </w:rPr>
              <w:drawing>
                <wp:inline distT="0" distB="0" distL="0" distR="0" wp14:anchorId="00857B9B" wp14:editId="1BE3A315">
                  <wp:extent cx="2225408" cy="1923314"/>
                  <wp:effectExtent l="0" t="0" r="381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9622" cy="1952883"/>
                          </a:xfrm>
                          <a:prstGeom prst="rect">
                            <a:avLst/>
                          </a:prstGeom>
                        </pic:spPr>
                      </pic:pic>
                    </a:graphicData>
                  </a:graphic>
                </wp:inline>
              </w:drawing>
            </w:r>
          </w:p>
          <w:p w14:paraId="366D1A47" w14:textId="77777777" w:rsidR="002152B3" w:rsidRPr="00B01233" w:rsidRDefault="002152B3" w:rsidP="00EA3662">
            <w:pPr>
              <w:autoSpaceDE w:val="0"/>
              <w:autoSpaceDN w:val="0"/>
              <w:adjustRightInd w:val="0"/>
              <w:spacing w:line="360" w:lineRule="auto"/>
              <w:jc w:val="center"/>
              <w:rPr>
                <w:rFonts w:cs="Arial"/>
                <w:sz w:val="22"/>
              </w:rPr>
            </w:pPr>
            <w:r w:rsidRPr="00B01233">
              <w:rPr>
                <w:rFonts w:cs="Arial"/>
                <w:sz w:val="22"/>
              </w:rPr>
              <w:t>b)</w:t>
            </w:r>
          </w:p>
        </w:tc>
      </w:tr>
    </w:tbl>
    <w:p w14:paraId="1C5C13EF" w14:textId="77777777" w:rsidR="002152B3" w:rsidRPr="00340943" w:rsidRDefault="00D338B4" w:rsidP="00EA3662">
      <w:pPr>
        <w:autoSpaceDE w:val="0"/>
        <w:autoSpaceDN w:val="0"/>
        <w:adjustRightInd w:val="0"/>
        <w:jc w:val="center"/>
        <w:rPr>
          <w:b/>
          <w:sz w:val="22"/>
        </w:rPr>
      </w:pPr>
      <w:r w:rsidRPr="00340943">
        <w:rPr>
          <w:b/>
          <w:sz w:val="22"/>
        </w:rPr>
        <w:t>Figura 2</w:t>
      </w:r>
      <w:r w:rsidR="006A253E" w:rsidRPr="00340943">
        <w:rPr>
          <w:b/>
          <w:sz w:val="22"/>
        </w:rPr>
        <w:t>.</w:t>
      </w:r>
      <w:r w:rsidR="002152B3" w:rsidRPr="00340943">
        <w:rPr>
          <w:b/>
          <w:sz w:val="22"/>
        </w:rPr>
        <w:t xml:space="preserve"> Modelo de efectos económicos de pérdidas totales industriales (a) y relación de valores de prueba con valores de predicción del modelo (b)</w:t>
      </w:r>
    </w:p>
    <w:p w14:paraId="13756A2E" w14:textId="77777777" w:rsidR="002152B3" w:rsidRPr="00B01233" w:rsidRDefault="002152B3" w:rsidP="00EA3662">
      <w:pPr>
        <w:rPr>
          <w:bCs/>
          <w:sz w:val="22"/>
        </w:rPr>
      </w:pPr>
    </w:p>
    <w:p w14:paraId="1A771C96" w14:textId="319007A0" w:rsidR="002152B3" w:rsidRPr="00B01233" w:rsidRDefault="002152B3" w:rsidP="00EA3662">
      <w:pPr>
        <w:rPr>
          <w:bCs/>
          <w:sz w:val="22"/>
        </w:rPr>
      </w:pPr>
      <w:r w:rsidRPr="00B01233">
        <w:rPr>
          <w:bCs/>
          <w:sz w:val="22"/>
        </w:rPr>
        <w:t>Mediante el análisis combinado de parámetros estadísticos calculad</w:t>
      </w:r>
      <w:r w:rsidR="00D338B4">
        <w:rPr>
          <w:bCs/>
          <w:sz w:val="22"/>
        </w:rPr>
        <w:t>os y métodos gráficos (</w:t>
      </w:r>
      <w:r w:rsidR="00340943">
        <w:rPr>
          <w:bCs/>
          <w:sz w:val="22"/>
        </w:rPr>
        <w:t>Figura</w:t>
      </w:r>
      <w:r w:rsidR="00D338B4">
        <w:rPr>
          <w:bCs/>
          <w:sz w:val="22"/>
        </w:rPr>
        <w:t xml:space="preserve"> 3</w:t>
      </w:r>
      <w:r w:rsidRPr="00B01233">
        <w:rPr>
          <w:bCs/>
          <w:sz w:val="22"/>
        </w:rPr>
        <w:t xml:space="preserve">), se considera que el modelo de polinomio expuesto cumple con los </w:t>
      </w:r>
      <w:r w:rsidR="005355F6">
        <w:rPr>
          <w:bCs/>
          <w:sz w:val="22"/>
        </w:rPr>
        <w:t>criterios</w:t>
      </w:r>
      <w:r w:rsidRPr="00B01233">
        <w:rPr>
          <w:bCs/>
          <w:sz w:val="22"/>
        </w:rPr>
        <w:t xml:space="preserve"> de </w:t>
      </w:r>
      <w:r w:rsidRPr="00B01233">
        <w:rPr>
          <w:bCs/>
          <w:sz w:val="22"/>
        </w:rPr>
        <w:lastRenderedPageBreak/>
        <w:t xml:space="preserve">diagnósticos, validación y es adecuado para predecir el índice </w:t>
      </w: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Pr="00B01233">
        <w:rPr>
          <w:sz w:val="22"/>
        </w:rPr>
        <w:t xml:space="preserve"> </w:t>
      </w:r>
      <w:r w:rsidRPr="00B01233">
        <w:rPr>
          <w:bCs/>
          <w:sz w:val="22"/>
        </w:rPr>
        <w:t>en función de las pérdidas industriales totales y los precios del azúcar.</w:t>
      </w:r>
    </w:p>
    <w:p w14:paraId="669070F8" w14:textId="77777777" w:rsidR="002152B3" w:rsidRPr="00B01233" w:rsidRDefault="002152B3" w:rsidP="00EA3662">
      <w:pPr>
        <w:rPr>
          <w:bCs/>
          <w:sz w:val="22"/>
        </w:rPr>
      </w:pP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382"/>
        <w:gridCol w:w="3248"/>
      </w:tblGrid>
      <w:tr w:rsidR="004B3E23" w:rsidRPr="00B01233" w14:paraId="54CE7DB0" w14:textId="77777777" w:rsidTr="00340943">
        <w:trPr>
          <w:jc w:val="center"/>
        </w:trPr>
        <w:tc>
          <w:tcPr>
            <w:tcW w:w="5382" w:type="dxa"/>
            <w:tcBorders>
              <w:top w:val="single" w:sz="4" w:space="0" w:color="auto"/>
              <w:bottom w:val="single" w:sz="4" w:space="0" w:color="auto"/>
              <w:right w:val="single" w:sz="4" w:space="0" w:color="auto"/>
            </w:tcBorders>
          </w:tcPr>
          <w:p w14:paraId="4E4AC910" w14:textId="77777777" w:rsidR="002152B3" w:rsidRPr="00B01233" w:rsidRDefault="002152B3" w:rsidP="00EA3662">
            <w:pPr>
              <w:spacing w:line="360" w:lineRule="auto"/>
              <w:jc w:val="center"/>
              <w:rPr>
                <w:bCs/>
                <w:sz w:val="22"/>
              </w:rPr>
            </w:pPr>
            <w:r w:rsidRPr="00B01233">
              <w:rPr>
                <w:noProof/>
                <w:sz w:val="22"/>
                <w:lang w:val="es-MX" w:eastAsia="es-MX"/>
              </w:rPr>
              <w:drawing>
                <wp:inline distT="0" distB="0" distL="0" distR="0" wp14:anchorId="06F411D5" wp14:editId="5C5CD602">
                  <wp:extent cx="3199954" cy="2430162"/>
                  <wp:effectExtent l="0" t="0" r="635" b="825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3764" cy="2539377"/>
                          </a:xfrm>
                          <a:prstGeom prst="rect">
                            <a:avLst/>
                          </a:prstGeom>
                        </pic:spPr>
                      </pic:pic>
                    </a:graphicData>
                  </a:graphic>
                </wp:inline>
              </w:drawing>
            </w:r>
          </w:p>
        </w:tc>
        <w:tc>
          <w:tcPr>
            <w:tcW w:w="3248" w:type="dxa"/>
            <w:tcBorders>
              <w:left w:val="single" w:sz="4" w:space="0" w:color="auto"/>
            </w:tcBorders>
          </w:tcPr>
          <w:p w14:paraId="26104507" w14:textId="77777777" w:rsidR="00C649F8" w:rsidRDefault="00C649F8" w:rsidP="00EA3662">
            <w:pPr>
              <w:spacing w:line="360" w:lineRule="auto"/>
            </w:pPr>
          </w:p>
          <w:tbl>
            <w:tblPr>
              <w:tblStyle w:val="Tablaconcuadrcula21"/>
              <w:tblpPr w:leftFromText="141" w:rightFromText="141" w:vertAnchor="text" w:horzAnchor="margin" w:tblpXSpec="right" w:tblpY="-71"/>
              <w:tblOverlap w:val="never"/>
              <w:tblW w:w="2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771"/>
              <w:gridCol w:w="967"/>
            </w:tblGrid>
            <w:tr w:rsidR="002152B3" w:rsidRPr="00B01233" w14:paraId="5E42D072" w14:textId="77777777" w:rsidTr="004B3E23">
              <w:trPr>
                <w:trHeight w:val="278"/>
              </w:trPr>
              <w:tc>
                <w:tcPr>
                  <w:tcW w:w="2992" w:type="dxa"/>
                  <w:gridSpan w:val="3"/>
                  <w:vAlign w:val="center"/>
                  <w:hideMark/>
                </w:tcPr>
                <w:p w14:paraId="5934EBB1" w14:textId="77777777" w:rsidR="002152B3" w:rsidRPr="00B01233" w:rsidRDefault="002152B3" w:rsidP="00EA3662">
                  <w:pPr>
                    <w:spacing w:line="360" w:lineRule="auto"/>
                    <w:jc w:val="center"/>
                    <w:rPr>
                      <w:rFonts w:cs="Arial"/>
                      <w:sz w:val="22"/>
                      <w:bdr w:val="none" w:sz="0" w:space="0" w:color="auto" w:frame="1"/>
                    </w:rPr>
                  </w:pPr>
                  <w:r w:rsidRPr="00B01233">
                    <w:rPr>
                      <w:rFonts w:cs="Arial"/>
                      <w:sz w:val="22"/>
                    </w:rPr>
                    <w:t>Intervalos de confianza de los coeficientes del  modelo</w:t>
                  </w:r>
                </w:p>
              </w:tc>
            </w:tr>
            <w:tr w:rsidR="002152B3" w:rsidRPr="00B01233" w14:paraId="415C2D67" w14:textId="77777777" w:rsidTr="004B3E23">
              <w:trPr>
                <w:trHeight w:val="178"/>
              </w:trPr>
              <w:tc>
                <w:tcPr>
                  <w:tcW w:w="1254" w:type="dxa"/>
                </w:tcPr>
                <w:p w14:paraId="44439BE0" w14:textId="77777777" w:rsidR="002152B3" w:rsidRPr="00B01233" w:rsidRDefault="002152B3" w:rsidP="00EA3662">
                  <w:pPr>
                    <w:spacing w:line="360" w:lineRule="auto"/>
                    <w:rPr>
                      <w:rFonts w:cs="Arial"/>
                      <w:sz w:val="22"/>
                      <w:bdr w:val="none" w:sz="0" w:space="0" w:color="auto" w:frame="1"/>
                    </w:rPr>
                  </w:pPr>
                </w:p>
              </w:tc>
              <w:tc>
                <w:tcPr>
                  <w:tcW w:w="771" w:type="dxa"/>
                  <w:hideMark/>
                </w:tcPr>
                <w:p w14:paraId="70BFC0E1" w14:textId="77777777" w:rsidR="002152B3" w:rsidRPr="00B01233" w:rsidRDefault="002152B3" w:rsidP="00EA3662">
                  <w:pPr>
                    <w:spacing w:line="360" w:lineRule="auto"/>
                    <w:rPr>
                      <w:rFonts w:cs="Arial"/>
                      <w:sz w:val="22"/>
                      <w:bdr w:val="none" w:sz="0" w:space="0" w:color="auto" w:frame="1"/>
                    </w:rPr>
                  </w:pPr>
                  <w:r w:rsidRPr="00B01233">
                    <w:rPr>
                      <w:rFonts w:cs="Arial"/>
                      <w:sz w:val="22"/>
                      <w:bdr w:val="none" w:sz="0" w:space="0" w:color="auto" w:frame="1"/>
                    </w:rPr>
                    <w:t>2,5 %</w:t>
                  </w:r>
                </w:p>
              </w:tc>
              <w:tc>
                <w:tcPr>
                  <w:tcW w:w="967" w:type="dxa"/>
                  <w:hideMark/>
                </w:tcPr>
                <w:p w14:paraId="07577625" w14:textId="77777777" w:rsidR="002152B3" w:rsidRPr="00B01233" w:rsidRDefault="002152B3" w:rsidP="00EA3662">
                  <w:pPr>
                    <w:spacing w:line="360" w:lineRule="auto"/>
                    <w:rPr>
                      <w:rFonts w:cs="Arial"/>
                      <w:sz w:val="22"/>
                      <w:bdr w:val="none" w:sz="0" w:space="0" w:color="auto" w:frame="1"/>
                    </w:rPr>
                  </w:pPr>
                  <w:r w:rsidRPr="00B01233">
                    <w:rPr>
                      <w:rFonts w:cs="Arial"/>
                      <w:sz w:val="22"/>
                      <w:bdr w:val="none" w:sz="0" w:space="0" w:color="auto" w:frame="1"/>
                    </w:rPr>
                    <w:t>97,5 %</w:t>
                  </w:r>
                </w:p>
              </w:tc>
            </w:tr>
            <w:tr w:rsidR="002152B3" w:rsidRPr="00B01233" w14:paraId="59438CBB" w14:textId="77777777" w:rsidTr="004B3E23">
              <w:trPr>
                <w:trHeight w:val="338"/>
              </w:trPr>
              <w:tc>
                <w:tcPr>
                  <w:tcW w:w="1254" w:type="dxa"/>
                  <w:hideMark/>
                </w:tcPr>
                <w:p w14:paraId="08469898" w14:textId="77777777" w:rsidR="002152B3" w:rsidRPr="00B01233" w:rsidRDefault="002152B3" w:rsidP="00EA3662">
                  <w:pPr>
                    <w:spacing w:line="360" w:lineRule="auto"/>
                    <w:ind w:left="-57" w:right="-57"/>
                    <w:rPr>
                      <w:rFonts w:cs="Arial"/>
                      <w:sz w:val="22"/>
                      <w:bdr w:val="none" w:sz="0" w:space="0" w:color="auto" w:frame="1"/>
                    </w:rPr>
                  </w:pPr>
                  <w:r w:rsidRPr="00B01233">
                    <w:rPr>
                      <w:rFonts w:cs="Arial"/>
                      <w:sz w:val="22"/>
                      <w:bdr w:val="none" w:sz="0" w:space="0" w:color="auto" w:frame="1"/>
                    </w:rPr>
                    <w:t>Intercepto</w:t>
                  </w:r>
                </w:p>
              </w:tc>
              <w:tc>
                <w:tcPr>
                  <w:tcW w:w="771" w:type="dxa"/>
                  <w:vAlign w:val="center"/>
                  <w:hideMark/>
                </w:tcPr>
                <w:p w14:paraId="1758C056" w14:textId="77777777" w:rsidR="002152B3" w:rsidRPr="00B01233" w:rsidRDefault="002152B3" w:rsidP="00EA3662">
                  <w:pPr>
                    <w:spacing w:line="360" w:lineRule="auto"/>
                    <w:rPr>
                      <w:rFonts w:cs="Arial"/>
                      <w:sz w:val="22"/>
                      <w:bdr w:val="none" w:sz="0" w:space="0" w:color="auto" w:frame="1"/>
                    </w:rPr>
                  </w:pPr>
                  <w:r w:rsidRPr="00B01233">
                    <w:rPr>
                      <w:rFonts w:cs="Arial"/>
                      <w:sz w:val="22"/>
                      <w:bdr w:val="none" w:sz="0" w:space="0" w:color="auto" w:frame="1"/>
                    </w:rPr>
                    <w:t>2,16</w:t>
                  </w:r>
                </w:p>
              </w:tc>
              <w:tc>
                <w:tcPr>
                  <w:tcW w:w="967" w:type="dxa"/>
                  <w:vAlign w:val="center"/>
                  <w:hideMark/>
                </w:tcPr>
                <w:p w14:paraId="42D750CC" w14:textId="77777777" w:rsidR="002152B3" w:rsidRPr="00B01233" w:rsidRDefault="002152B3" w:rsidP="00EA3662">
                  <w:pPr>
                    <w:spacing w:line="360" w:lineRule="auto"/>
                    <w:rPr>
                      <w:rFonts w:cs="Arial"/>
                      <w:sz w:val="22"/>
                      <w:bdr w:val="none" w:sz="0" w:space="0" w:color="auto" w:frame="1"/>
                    </w:rPr>
                  </w:pPr>
                  <w:r w:rsidRPr="00B01233">
                    <w:rPr>
                      <w:rFonts w:cs="Arial"/>
                      <w:sz w:val="22"/>
                      <w:bdr w:val="none" w:sz="0" w:space="0" w:color="auto" w:frame="1"/>
                    </w:rPr>
                    <w:t>15,67</w:t>
                  </w:r>
                </w:p>
              </w:tc>
            </w:tr>
            <w:tr w:rsidR="002152B3" w:rsidRPr="00B01233" w14:paraId="33E7B7BE" w14:textId="77777777" w:rsidTr="004B3E23">
              <w:trPr>
                <w:trHeight w:val="286"/>
              </w:trPr>
              <w:tc>
                <w:tcPr>
                  <w:tcW w:w="1254" w:type="dxa"/>
                  <w:hideMark/>
                </w:tcPr>
                <w:p w14:paraId="0F7ACDFC" w14:textId="77777777" w:rsidR="002152B3" w:rsidRPr="00B01233" w:rsidRDefault="002152B3" w:rsidP="00EA3662">
                  <w:pPr>
                    <w:spacing w:line="360" w:lineRule="auto"/>
                    <w:rPr>
                      <w:rFonts w:cs="Arial"/>
                      <w:sz w:val="22"/>
                      <w:bdr w:val="none" w:sz="0" w:space="0" w:color="auto" w:frame="1"/>
                      <w:lang w:val="en-GB"/>
                    </w:rPr>
                  </w:pPr>
                  <w:r w:rsidRPr="00B01233">
                    <w:rPr>
                      <w:rFonts w:cs="Arial"/>
                      <w:sz w:val="22"/>
                      <w:bdr w:val="none" w:sz="0" w:space="0" w:color="auto" w:frame="1"/>
                      <w:lang w:val="en-GB"/>
                    </w:rPr>
                    <w:t>PERD_T</w:t>
                  </w:r>
                </w:p>
              </w:tc>
              <w:tc>
                <w:tcPr>
                  <w:tcW w:w="771" w:type="dxa"/>
                  <w:vAlign w:val="center"/>
                  <w:hideMark/>
                </w:tcPr>
                <w:p w14:paraId="753CED2C" w14:textId="77777777" w:rsidR="002152B3" w:rsidRPr="00B01233" w:rsidRDefault="002152B3" w:rsidP="00EA3662">
                  <w:pPr>
                    <w:spacing w:line="360" w:lineRule="auto"/>
                    <w:rPr>
                      <w:rFonts w:cs="Arial"/>
                      <w:sz w:val="22"/>
                      <w:bdr w:val="none" w:sz="0" w:space="0" w:color="auto" w:frame="1"/>
                      <w:lang w:val="en-GB"/>
                    </w:rPr>
                  </w:pPr>
                  <w:r w:rsidRPr="00B01233">
                    <w:rPr>
                      <w:rFonts w:cs="Arial"/>
                      <w:sz w:val="22"/>
                      <w:bdr w:val="none" w:sz="0" w:space="0" w:color="auto" w:frame="1"/>
                    </w:rPr>
                    <w:t>-2,46</w:t>
                  </w:r>
                </w:p>
              </w:tc>
              <w:tc>
                <w:tcPr>
                  <w:tcW w:w="967" w:type="dxa"/>
                  <w:vAlign w:val="center"/>
                  <w:hideMark/>
                </w:tcPr>
                <w:p w14:paraId="3D63ACC4" w14:textId="77777777" w:rsidR="002152B3" w:rsidRPr="00B01233" w:rsidRDefault="002152B3" w:rsidP="00EA3662">
                  <w:pPr>
                    <w:spacing w:line="360" w:lineRule="auto"/>
                    <w:rPr>
                      <w:rFonts w:cs="Arial"/>
                      <w:sz w:val="22"/>
                      <w:bdr w:val="none" w:sz="0" w:space="0" w:color="auto" w:frame="1"/>
                      <w:lang w:val="en-GB"/>
                    </w:rPr>
                  </w:pPr>
                  <w:r w:rsidRPr="00B01233">
                    <w:rPr>
                      <w:rFonts w:cs="Arial"/>
                      <w:sz w:val="22"/>
                      <w:bdr w:val="none" w:sz="0" w:space="0" w:color="auto" w:frame="1"/>
                    </w:rPr>
                    <w:t>-1,11</w:t>
                  </w:r>
                </w:p>
              </w:tc>
            </w:tr>
            <w:tr w:rsidR="002152B3" w:rsidRPr="00B01233" w14:paraId="57D4D2F6" w14:textId="77777777" w:rsidTr="004B3E23">
              <w:trPr>
                <w:trHeight w:val="276"/>
              </w:trPr>
              <w:tc>
                <w:tcPr>
                  <w:tcW w:w="1254" w:type="dxa"/>
                </w:tcPr>
                <w:p w14:paraId="5B80B403" w14:textId="77777777" w:rsidR="002152B3" w:rsidRPr="00B01233" w:rsidRDefault="002152B3" w:rsidP="00EA3662">
                  <w:pPr>
                    <w:spacing w:line="360" w:lineRule="auto"/>
                    <w:rPr>
                      <w:rFonts w:cs="Arial"/>
                      <w:sz w:val="22"/>
                      <w:bdr w:val="none" w:sz="0" w:space="0" w:color="auto" w:frame="1"/>
                      <w:vertAlign w:val="superscript"/>
                      <w:lang w:val="en-GB"/>
                    </w:rPr>
                  </w:pPr>
                  <w:r w:rsidRPr="00B01233">
                    <w:rPr>
                      <w:rFonts w:cs="Arial"/>
                      <w:sz w:val="22"/>
                      <w:bdr w:val="none" w:sz="0" w:space="0" w:color="auto" w:frame="1"/>
                      <w:lang w:val="en-GB"/>
                    </w:rPr>
                    <w:t>PERD_T</w:t>
                  </w:r>
                  <w:r w:rsidRPr="00B01233">
                    <w:rPr>
                      <w:rFonts w:cs="Arial"/>
                      <w:sz w:val="22"/>
                      <w:bdr w:val="none" w:sz="0" w:space="0" w:color="auto" w:frame="1"/>
                      <w:vertAlign w:val="superscript"/>
                      <w:lang w:val="en-GB"/>
                    </w:rPr>
                    <w:t>2</w:t>
                  </w:r>
                </w:p>
              </w:tc>
              <w:tc>
                <w:tcPr>
                  <w:tcW w:w="771" w:type="dxa"/>
                  <w:vAlign w:val="center"/>
                </w:tcPr>
                <w:p w14:paraId="7386B592" w14:textId="77777777" w:rsidR="002152B3" w:rsidRPr="00B01233" w:rsidRDefault="002152B3" w:rsidP="00EA3662">
                  <w:pPr>
                    <w:spacing w:line="360" w:lineRule="auto"/>
                    <w:rPr>
                      <w:rFonts w:cs="Arial"/>
                      <w:sz w:val="22"/>
                      <w:bdr w:val="none" w:sz="0" w:space="0" w:color="auto" w:frame="1"/>
                      <w:lang w:val="en-GB"/>
                    </w:rPr>
                  </w:pPr>
                  <w:r w:rsidRPr="00B01233">
                    <w:rPr>
                      <w:rFonts w:cs="Arial"/>
                      <w:sz w:val="22"/>
                      <w:bdr w:val="none" w:sz="0" w:space="0" w:color="auto" w:frame="1"/>
                    </w:rPr>
                    <w:t>0,05</w:t>
                  </w:r>
                </w:p>
              </w:tc>
              <w:tc>
                <w:tcPr>
                  <w:tcW w:w="967" w:type="dxa"/>
                  <w:vAlign w:val="center"/>
                </w:tcPr>
                <w:p w14:paraId="11F0A41E" w14:textId="77777777" w:rsidR="002152B3" w:rsidRPr="00B01233" w:rsidRDefault="002152B3" w:rsidP="00EA3662">
                  <w:pPr>
                    <w:spacing w:line="360" w:lineRule="auto"/>
                    <w:rPr>
                      <w:rFonts w:cs="Arial"/>
                      <w:sz w:val="22"/>
                      <w:bdr w:val="none" w:sz="0" w:space="0" w:color="auto" w:frame="1"/>
                      <w:lang w:val="en-GB"/>
                    </w:rPr>
                  </w:pPr>
                  <w:r w:rsidRPr="00B01233">
                    <w:rPr>
                      <w:rFonts w:cs="Arial"/>
                      <w:sz w:val="22"/>
                      <w:bdr w:val="none" w:sz="0" w:space="0" w:color="auto" w:frame="1"/>
                    </w:rPr>
                    <w:t>0,09</w:t>
                  </w:r>
                </w:p>
              </w:tc>
            </w:tr>
            <w:tr w:rsidR="002152B3" w:rsidRPr="00B01233" w14:paraId="46683910" w14:textId="77777777" w:rsidTr="004B3E23">
              <w:trPr>
                <w:trHeight w:val="276"/>
              </w:trPr>
              <w:tc>
                <w:tcPr>
                  <w:tcW w:w="1254" w:type="dxa"/>
                </w:tcPr>
                <w:p w14:paraId="1AAE0CD3" w14:textId="77777777" w:rsidR="002152B3" w:rsidRPr="00B01233" w:rsidRDefault="002152B3" w:rsidP="00EA3662">
                  <w:pPr>
                    <w:spacing w:line="360" w:lineRule="auto"/>
                    <w:rPr>
                      <w:sz w:val="22"/>
                      <w:bdr w:val="none" w:sz="0" w:space="0" w:color="auto" w:frame="1"/>
                      <w:lang w:val="en-GB"/>
                    </w:rPr>
                  </w:pPr>
                  <w:r w:rsidRPr="00B01233">
                    <w:rPr>
                      <w:sz w:val="22"/>
                      <w:bdr w:val="none" w:sz="0" w:space="0" w:color="auto" w:frame="1"/>
                    </w:rPr>
                    <w:t>Precio</w:t>
                  </w:r>
                </w:p>
              </w:tc>
              <w:tc>
                <w:tcPr>
                  <w:tcW w:w="771" w:type="dxa"/>
                  <w:vAlign w:val="center"/>
                </w:tcPr>
                <w:p w14:paraId="222EABE2"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0,01</w:t>
                  </w:r>
                </w:p>
              </w:tc>
              <w:tc>
                <w:tcPr>
                  <w:tcW w:w="967" w:type="dxa"/>
                  <w:vAlign w:val="center"/>
                </w:tcPr>
                <w:p w14:paraId="7384BD89"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0,02</w:t>
                  </w:r>
                </w:p>
              </w:tc>
            </w:tr>
            <w:tr w:rsidR="002152B3" w:rsidRPr="00B01233" w14:paraId="49DFA51D" w14:textId="77777777" w:rsidTr="004B3E23">
              <w:trPr>
                <w:trHeight w:val="219"/>
              </w:trPr>
              <w:tc>
                <w:tcPr>
                  <w:tcW w:w="1254" w:type="dxa"/>
                  <w:shd w:val="clear" w:color="auto" w:fill="BF8F00" w:themeFill="accent4" w:themeFillShade="BF"/>
                </w:tcPr>
                <w:p w14:paraId="2762043D" w14:textId="77777777" w:rsidR="002152B3" w:rsidRPr="00B01233" w:rsidRDefault="002152B3" w:rsidP="00EA3662">
                  <w:pPr>
                    <w:spacing w:line="360" w:lineRule="auto"/>
                    <w:rPr>
                      <w:sz w:val="22"/>
                      <w:bdr w:val="none" w:sz="0" w:space="0" w:color="auto" w:frame="1"/>
                      <w:lang w:val="en-GB"/>
                    </w:rPr>
                  </w:pPr>
                </w:p>
              </w:tc>
              <w:tc>
                <w:tcPr>
                  <w:tcW w:w="771" w:type="dxa"/>
                  <w:shd w:val="clear" w:color="auto" w:fill="BF8F00" w:themeFill="accent4" w:themeFillShade="BF"/>
                  <w:vAlign w:val="center"/>
                </w:tcPr>
                <w:p w14:paraId="76496170" w14:textId="77777777" w:rsidR="002152B3" w:rsidRPr="00B01233" w:rsidRDefault="002152B3" w:rsidP="00EA3662">
                  <w:pPr>
                    <w:spacing w:line="360" w:lineRule="auto"/>
                    <w:rPr>
                      <w:sz w:val="22"/>
                      <w:bdr w:val="none" w:sz="0" w:space="0" w:color="auto" w:frame="1"/>
                    </w:rPr>
                  </w:pPr>
                </w:p>
              </w:tc>
              <w:tc>
                <w:tcPr>
                  <w:tcW w:w="967" w:type="dxa"/>
                  <w:shd w:val="clear" w:color="auto" w:fill="BF8F00" w:themeFill="accent4" w:themeFillShade="BF"/>
                  <w:vAlign w:val="center"/>
                </w:tcPr>
                <w:p w14:paraId="782BF840" w14:textId="77777777" w:rsidR="002152B3" w:rsidRPr="00B01233" w:rsidRDefault="002152B3" w:rsidP="00EA3662">
                  <w:pPr>
                    <w:spacing w:line="360" w:lineRule="auto"/>
                    <w:rPr>
                      <w:sz w:val="22"/>
                      <w:bdr w:val="none" w:sz="0" w:space="0" w:color="auto" w:frame="1"/>
                    </w:rPr>
                  </w:pPr>
                </w:p>
              </w:tc>
            </w:tr>
            <w:tr w:rsidR="002152B3" w:rsidRPr="00B01233" w14:paraId="68A26FAE" w14:textId="77777777" w:rsidTr="004B3E23">
              <w:trPr>
                <w:trHeight w:val="276"/>
              </w:trPr>
              <w:tc>
                <w:tcPr>
                  <w:tcW w:w="1254" w:type="dxa"/>
                </w:tcPr>
                <w:p w14:paraId="23CE18BD"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 xml:space="preserve">Límites </w:t>
                  </w:r>
                </w:p>
              </w:tc>
              <w:tc>
                <w:tcPr>
                  <w:tcW w:w="771" w:type="dxa"/>
                  <w:vAlign w:val="center"/>
                </w:tcPr>
                <w:p w14:paraId="3497BDEA"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Bajo</w:t>
                  </w:r>
                </w:p>
              </w:tc>
              <w:tc>
                <w:tcPr>
                  <w:tcW w:w="967" w:type="dxa"/>
                  <w:vAlign w:val="center"/>
                </w:tcPr>
                <w:p w14:paraId="3C5D76C6"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Alto</w:t>
                  </w:r>
                </w:p>
              </w:tc>
            </w:tr>
            <w:tr w:rsidR="002152B3" w:rsidRPr="00B01233" w14:paraId="5411C933" w14:textId="77777777" w:rsidTr="004B3E23">
              <w:trPr>
                <w:trHeight w:val="276"/>
              </w:trPr>
              <w:tc>
                <w:tcPr>
                  <w:tcW w:w="1254" w:type="dxa"/>
                </w:tcPr>
                <w:p w14:paraId="3AA359AD"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 xml:space="preserve">Confianza </w:t>
                  </w:r>
                </w:p>
              </w:tc>
              <w:tc>
                <w:tcPr>
                  <w:tcW w:w="771" w:type="dxa"/>
                  <w:vAlign w:val="center"/>
                </w:tcPr>
                <w:p w14:paraId="27B4182B"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6,9</w:t>
                  </w:r>
                </w:p>
              </w:tc>
              <w:tc>
                <w:tcPr>
                  <w:tcW w:w="967" w:type="dxa"/>
                  <w:vAlign w:val="center"/>
                </w:tcPr>
                <w:p w14:paraId="430FE6B0"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7,5</w:t>
                  </w:r>
                </w:p>
              </w:tc>
            </w:tr>
            <w:tr w:rsidR="002152B3" w:rsidRPr="00B01233" w14:paraId="6C89752C" w14:textId="77777777" w:rsidTr="004B3E23">
              <w:trPr>
                <w:trHeight w:val="276"/>
              </w:trPr>
              <w:tc>
                <w:tcPr>
                  <w:tcW w:w="1254" w:type="dxa"/>
                </w:tcPr>
                <w:p w14:paraId="49608C82"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Predicción</w:t>
                  </w:r>
                </w:p>
              </w:tc>
              <w:tc>
                <w:tcPr>
                  <w:tcW w:w="771" w:type="dxa"/>
                  <w:vAlign w:val="center"/>
                </w:tcPr>
                <w:p w14:paraId="17FB2F0C"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3,6</w:t>
                  </w:r>
                </w:p>
              </w:tc>
              <w:tc>
                <w:tcPr>
                  <w:tcW w:w="967" w:type="dxa"/>
                  <w:vAlign w:val="center"/>
                </w:tcPr>
                <w:p w14:paraId="1A488E58" w14:textId="77777777" w:rsidR="002152B3" w:rsidRPr="00B01233" w:rsidRDefault="002152B3" w:rsidP="00EA3662">
                  <w:pPr>
                    <w:spacing w:line="360" w:lineRule="auto"/>
                    <w:rPr>
                      <w:sz w:val="22"/>
                      <w:bdr w:val="none" w:sz="0" w:space="0" w:color="auto" w:frame="1"/>
                    </w:rPr>
                  </w:pPr>
                  <w:r w:rsidRPr="00B01233">
                    <w:rPr>
                      <w:sz w:val="22"/>
                      <w:bdr w:val="none" w:sz="0" w:space="0" w:color="auto" w:frame="1"/>
                    </w:rPr>
                    <w:t>10,7</w:t>
                  </w:r>
                </w:p>
              </w:tc>
            </w:tr>
          </w:tbl>
          <w:p w14:paraId="70610374" w14:textId="77777777" w:rsidR="002152B3" w:rsidRPr="00B01233" w:rsidRDefault="002152B3" w:rsidP="00EA3662">
            <w:pPr>
              <w:spacing w:line="360" w:lineRule="auto"/>
              <w:jc w:val="center"/>
              <w:rPr>
                <w:bCs/>
                <w:sz w:val="22"/>
              </w:rPr>
            </w:pPr>
          </w:p>
        </w:tc>
      </w:tr>
    </w:tbl>
    <w:p w14:paraId="10B8AF38" w14:textId="77777777" w:rsidR="002152B3" w:rsidRPr="00340943" w:rsidRDefault="00D338B4" w:rsidP="00EA3662">
      <w:pPr>
        <w:jc w:val="center"/>
        <w:rPr>
          <w:b/>
          <w:bCs/>
          <w:sz w:val="22"/>
        </w:rPr>
      </w:pPr>
      <w:r w:rsidRPr="00340943">
        <w:rPr>
          <w:b/>
          <w:bCs/>
          <w:sz w:val="22"/>
        </w:rPr>
        <w:t>Figura 3</w:t>
      </w:r>
      <w:r w:rsidR="006A253E" w:rsidRPr="00340943">
        <w:rPr>
          <w:b/>
          <w:bCs/>
          <w:sz w:val="22"/>
        </w:rPr>
        <w:t>.</w:t>
      </w:r>
      <w:r w:rsidR="002152B3" w:rsidRPr="00340943">
        <w:rPr>
          <w:b/>
          <w:bCs/>
          <w:sz w:val="22"/>
        </w:rPr>
        <w:t xml:space="preserve"> Validación del modelo de regresión de polinomio e intervalos de confianza</w:t>
      </w:r>
    </w:p>
    <w:p w14:paraId="1826A880" w14:textId="77777777" w:rsidR="002152B3" w:rsidRPr="00B01233" w:rsidRDefault="002152B3" w:rsidP="00EA3662">
      <w:pPr>
        <w:rPr>
          <w:sz w:val="22"/>
          <w:bdr w:val="none" w:sz="0" w:space="0" w:color="auto" w:frame="1"/>
        </w:rPr>
      </w:pPr>
    </w:p>
    <w:p w14:paraId="1E1AEFF9" w14:textId="77777777" w:rsidR="002152B3" w:rsidRPr="00B01233" w:rsidRDefault="002152B3" w:rsidP="00EA3662">
      <w:pPr>
        <w:rPr>
          <w:sz w:val="22"/>
          <w:bdr w:val="none" w:sz="0" w:space="0" w:color="auto" w:frame="1"/>
        </w:rPr>
      </w:pPr>
      <w:r w:rsidRPr="00B01233">
        <w:rPr>
          <w:sz w:val="22"/>
          <w:bdr w:val="none" w:sz="0" w:space="0" w:color="auto" w:frame="1"/>
        </w:rPr>
        <w:t xml:space="preserve">El modelo con la ecuación: </w:t>
      </w: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Pr="00B01233">
        <w:rPr>
          <w:sz w:val="22"/>
        </w:rPr>
        <w:t xml:space="preserve"> </w:t>
      </w:r>
      <w:r w:rsidRPr="00B01233">
        <w:rPr>
          <w:sz w:val="22"/>
          <w:bdr w:val="none" w:sz="0" w:space="0" w:color="auto" w:frame="1"/>
        </w:rPr>
        <w:t>=8,91-1,79(PERD_T)+0,07(PERD_T)</w:t>
      </w:r>
      <w:r w:rsidRPr="00B01233">
        <w:rPr>
          <w:sz w:val="22"/>
          <w:bdr w:val="none" w:sz="0" w:space="0" w:color="auto" w:frame="1"/>
          <w:vertAlign w:val="superscript"/>
        </w:rPr>
        <w:t>2</w:t>
      </w:r>
      <w:r w:rsidRPr="00B01233">
        <w:rPr>
          <w:sz w:val="22"/>
          <w:bdr w:val="none" w:sz="0" w:space="0" w:color="auto" w:frame="1"/>
        </w:rPr>
        <w:t xml:space="preserve">+0,01Precio, es capaz de explicar el 82,09 % de la variabilidad observada en la variable </w:t>
      </w:r>
      <w:proofErr w:type="spellStart"/>
      <w:r w:rsidRPr="00B01233">
        <w:rPr>
          <w:sz w:val="22"/>
          <w:lang w:eastAsia="es-ES"/>
        </w:rPr>
        <w:t>I</w:t>
      </w:r>
      <w:r w:rsidRPr="00B01233">
        <w:rPr>
          <w:sz w:val="22"/>
          <w:vertAlign w:val="subscript"/>
          <w:lang w:eastAsia="es-ES"/>
        </w:rPr>
        <w:t>p</w:t>
      </w:r>
      <w:proofErr w:type="spellEnd"/>
      <w:r w:rsidRPr="00B01233">
        <w:rPr>
          <w:sz w:val="22"/>
          <w:vertAlign w:val="subscript"/>
          <w:lang w:eastAsia="es-ES"/>
        </w:rPr>
        <w:t>-DPRE</w:t>
      </w:r>
      <w:r w:rsidRPr="00B01233">
        <w:rPr>
          <w:sz w:val="22"/>
          <w:bdr w:val="none" w:sz="0" w:space="0" w:color="auto" w:frame="1"/>
        </w:rPr>
        <w:t xml:space="preserve"> (R</w:t>
      </w:r>
      <w:r w:rsidRPr="00B01233">
        <w:rPr>
          <w:sz w:val="22"/>
          <w:bdr w:val="none" w:sz="0" w:space="0" w:color="auto" w:frame="1"/>
          <w:vertAlign w:val="superscript"/>
        </w:rPr>
        <w:t>2</w:t>
      </w:r>
      <w:r w:rsidRPr="00B01233">
        <w:rPr>
          <w:sz w:val="22"/>
          <w:bdr w:val="none" w:sz="0" w:space="0" w:color="auto" w:frame="1"/>
        </w:rPr>
        <w:t xml:space="preserve"> de </w:t>
      </w:r>
      <w:r w:rsidRPr="00B01233">
        <w:rPr>
          <w:rFonts w:eastAsia="Times New Roman" w:cs="Courier New"/>
          <w:sz w:val="22"/>
          <w:bdr w:val="none" w:sz="0" w:space="0" w:color="auto" w:frame="1"/>
          <w:lang w:eastAsia="es-ES"/>
        </w:rPr>
        <w:t>0,82</w:t>
      </w:r>
      <w:r w:rsidRPr="00B01233">
        <w:rPr>
          <w:sz w:val="22"/>
          <w:bdr w:val="none" w:sz="0" w:space="0" w:color="auto" w:frame="1"/>
        </w:rPr>
        <w:t>). El test F muestra que es significativo (</w:t>
      </w:r>
      <w:r w:rsidRPr="00B01233">
        <w:rPr>
          <w:i/>
          <w:iCs/>
          <w:sz w:val="22"/>
          <w:bdr w:val="none" w:sz="0" w:space="0" w:color="auto" w:frame="1"/>
        </w:rPr>
        <w:t>p-</w:t>
      </w:r>
      <w:proofErr w:type="spellStart"/>
      <w:r w:rsidRPr="00B01233">
        <w:rPr>
          <w:i/>
          <w:iCs/>
          <w:sz w:val="22"/>
          <w:bdr w:val="none" w:sz="0" w:space="0" w:color="auto" w:frame="1"/>
        </w:rPr>
        <w:t>value</w:t>
      </w:r>
      <w:proofErr w:type="spellEnd"/>
      <w:r w:rsidRPr="00B01233">
        <w:rPr>
          <w:sz w:val="22"/>
          <w:bdr w:val="none" w:sz="0" w:space="0" w:color="auto" w:frame="1"/>
        </w:rPr>
        <w:t>: &lt; 2,2 e</w:t>
      </w:r>
      <w:r w:rsidRPr="00B01233">
        <w:rPr>
          <w:sz w:val="22"/>
          <w:bdr w:val="none" w:sz="0" w:space="0" w:color="auto" w:frame="1"/>
          <w:vertAlign w:val="superscript"/>
        </w:rPr>
        <w:t>-16</w:t>
      </w:r>
      <w:r w:rsidRPr="00B01233">
        <w:rPr>
          <w:sz w:val="22"/>
          <w:bdr w:val="none" w:sz="0" w:space="0" w:color="auto" w:frame="1"/>
        </w:rPr>
        <w:t xml:space="preserve">), con un error residual de 1,8 y 196 grados de libertad. Se cumplen los criterios estadísticos requeridos como la prueba de normalidad (prueba de </w:t>
      </w:r>
      <w:proofErr w:type="spellStart"/>
      <w:r w:rsidRPr="00B01233">
        <w:rPr>
          <w:i/>
          <w:sz w:val="22"/>
          <w:bdr w:val="none" w:sz="0" w:space="0" w:color="auto" w:frame="1"/>
        </w:rPr>
        <w:t>Lilliefors</w:t>
      </w:r>
      <w:proofErr w:type="spellEnd"/>
      <w:r w:rsidRPr="00B01233">
        <w:rPr>
          <w:sz w:val="22"/>
          <w:bdr w:val="none" w:sz="0" w:space="0" w:color="auto" w:frame="1"/>
        </w:rPr>
        <w:t xml:space="preserve">: 0,05 y </w:t>
      </w:r>
      <w:r w:rsidRPr="00B01233">
        <w:rPr>
          <w:i/>
          <w:sz w:val="22"/>
          <w:bdr w:val="none" w:sz="0" w:space="0" w:color="auto" w:frame="1"/>
        </w:rPr>
        <w:t>p-</w:t>
      </w:r>
      <w:proofErr w:type="spellStart"/>
      <w:r w:rsidRPr="00B01233">
        <w:rPr>
          <w:i/>
          <w:sz w:val="22"/>
          <w:bdr w:val="none" w:sz="0" w:space="0" w:color="auto" w:frame="1"/>
        </w:rPr>
        <w:t>value</w:t>
      </w:r>
      <w:proofErr w:type="spellEnd"/>
      <w:r w:rsidRPr="00B01233">
        <w:rPr>
          <w:sz w:val="22"/>
          <w:bdr w:val="none" w:sz="0" w:space="0" w:color="auto" w:frame="1"/>
        </w:rPr>
        <w:t>: 0,2); residuos estandarizados (</w:t>
      </w:r>
      <w:proofErr w:type="spellStart"/>
      <w:r w:rsidRPr="00B01233">
        <w:rPr>
          <w:i/>
          <w:sz w:val="22"/>
          <w:bdr w:val="none" w:sz="0" w:space="0" w:color="auto" w:frame="1"/>
        </w:rPr>
        <w:t>Breusch</w:t>
      </w:r>
      <w:proofErr w:type="spellEnd"/>
      <w:r w:rsidRPr="00B01233">
        <w:rPr>
          <w:i/>
          <w:sz w:val="22"/>
          <w:bdr w:val="none" w:sz="0" w:space="0" w:color="auto" w:frame="1"/>
        </w:rPr>
        <w:t xml:space="preserve">-Pagan: </w:t>
      </w:r>
      <w:r w:rsidRPr="00B01233">
        <w:rPr>
          <w:sz w:val="22"/>
          <w:bdr w:val="none" w:sz="0" w:space="0" w:color="auto" w:frame="1"/>
        </w:rPr>
        <w:t>7,7</w:t>
      </w:r>
      <w:r w:rsidRPr="00B01233">
        <w:rPr>
          <w:i/>
          <w:sz w:val="22"/>
          <w:bdr w:val="none" w:sz="0" w:space="0" w:color="auto" w:frame="1"/>
        </w:rPr>
        <w:t xml:space="preserve"> y p-</w:t>
      </w:r>
      <w:proofErr w:type="spellStart"/>
      <w:r w:rsidRPr="00B01233">
        <w:rPr>
          <w:i/>
          <w:sz w:val="22"/>
          <w:bdr w:val="none" w:sz="0" w:space="0" w:color="auto" w:frame="1"/>
        </w:rPr>
        <w:t>value</w:t>
      </w:r>
      <w:proofErr w:type="spellEnd"/>
      <w:r w:rsidRPr="00B01233">
        <w:rPr>
          <w:i/>
          <w:sz w:val="22"/>
          <w:bdr w:val="none" w:sz="0" w:space="0" w:color="auto" w:frame="1"/>
        </w:rPr>
        <w:t xml:space="preserve">: </w:t>
      </w:r>
      <w:r w:rsidRPr="00B01233">
        <w:rPr>
          <w:sz w:val="22"/>
          <w:bdr w:val="none" w:sz="0" w:space="0" w:color="auto" w:frame="1"/>
        </w:rPr>
        <w:t xml:space="preserve">0,053). La prueba de </w:t>
      </w:r>
      <w:r w:rsidRPr="00B01233">
        <w:rPr>
          <w:i/>
          <w:sz w:val="22"/>
          <w:bdr w:val="none" w:sz="0" w:space="0" w:color="auto" w:frame="1"/>
        </w:rPr>
        <w:t>Durbin-Watson</w:t>
      </w:r>
      <w:r w:rsidRPr="00B01233">
        <w:rPr>
          <w:sz w:val="22"/>
          <w:bdr w:val="none" w:sz="0" w:space="0" w:color="auto" w:frame="1"/>
        </w:rPr>
        <w:t xml:space="preserve"> no encontró evidencias de autocorrelación, donde el estadístico </w:t>
      </w:r>
      <w:r w:rsidRPr="00B01233">
        <w:rPr>
          <w:i/>
          <w:sz w:val="22"/>
          <w:bdr w:val="none" w:sz="0" w:space="0" w:color="auto" w:frame="1"/>
        </w:rPr>
        <w:t>d</w:t>
      </w:r>
      <w:r w:rsidR="00722DA6">
        <w:rPr>
          <w:sz w:val="22"/>
          <w:bdr w:val="none" w:sz="0" w:space="0" w:color="auto" w:frame="1"/>
        </w:rPr>
        <w:t xml:space="preserve"> fue de 2,11 y</w:t>
      </w:r>
      <w:r w:rsidRPr="00B01233">
        <w:rPr>
          <w:sz w:val="22"/>
          <w:bdr w:val="none" w:sz="0" w:space="0" w:color="auto" w:frame="1"/>
        </w:rPr>
        <w:t xml:space="preserve"> </w:t>
      </w:r>
      <w:r w:rsidRPr="00B01233">
        <w:rPr>
          <w:i/>
          <w:sz w:val="22"/>
          <w:bdr w:val="none" w:sz="0" w:space="0" w:color="auto" w:frame="1"/>
        </w:rPr>
        <w:t>p-</w:t>
      </w:r>
      <w:proofErr w:type="spellStart"/>
      <w:r w:rsidRPr="00B01233">
        <w:rPr>
          <w:i/>
          <w:sz w:val="22"/>
          <w:bdr w:val="none" w:sz="0" w:space="0" w:color="auto" w:frame="1"/>
        </w:rPr>
        <w:t>value</w:t>
      </w:r>
      <w:proofErr w:type="spellEnd"/>
      <w:r w:rsidRPr="00B01233">
        <w:rPr>
          <w:sz w:val="22"/>
          <w:bdr w:val="none" w:sz="0" w:space="0" w:color="auto" w:frame="1"/>
        </w:rPr>
        <w:t xml:space="preserve"> de 0,45. Ademá</w:t>
      </w:r>
      <w:r w:rsidR="00722DA6">
        <w:rPr>
          <w:sz w:val="22"/>
          <w:bdr w:val="none" w:sz="0" w:space="0" w:color="auto" w:frame="1"/>
        </w:rPr>
        <w:t>s de lo exp</w:t>
      </w:r>
      <w:r w:rsidR="00D338B4">
        <w:rPr>
          <w:sz w:val="22"/>
          <w:bdr w:val="none" w:sz="0" w:space="0" w:color="auto" w:frame="1"/>
        </w:rPr>
        <w:t>uesto, la figura 3</w:t>
      </w:r>
      <w:r w:rsidRPr="00B01233">
        <w:rPr>
          <w:sz w:val="22"/>
          <w:bdr w:val="none" w:sz="0" w:space="0" w:color="auto" w:frame="1"/>
        </w:rPr>
        <w:t xml:space="preserve"> mostró cuatro gráficos que corroboran los resultados de los test estadísticos. </w:t>
      </w:r>
    </w:p>
    <w:p w14:paraId="413AEB6B" w14:textId="7A03659D" w:rsidR="00F91EE3" w:rsidRPr="00A21A3C" w:rsidRDefault="00D338B4" w:rsidP="00EA3662">
      <w:pPr>
        <w:autoSpaceDE w:val="0"/>
        <w:autoSpaceDN w:val="0"/>
        <w:adjustRightInd w:val="0"/>
        <w:rPr>
          <w:iCs/>
          <w:sz w:val="22"/>
        </w:rPr>
      </w:pPr>
      <w:r>
        <w:rPr>
          <w:bCs/>
          <w:sz w:val="22"/>
        </w:rPr>
        <w:t>Es importante aclarar</w:t>
      </w:r>
      <w:r w:rsidR="00325D7B">
        <w:rPr>
          <w:bCs/>
          <w:sz w:val="22"/>
        </w:rPr>
        <w:t xml:space="preserve"> que no se tiene la</w:t>
      </w:r>
      <w:r w:rsidR="002152B3" w:rsidRPr="00B01233">
        <w:rPr>
          <w:bCs/>
          <w:sz w:val="22"/>
        </w:rPr>
        <w:t xml:space="preserve"> intensión simplificar las complejidades del procesamiento de la caña de azúcar, sino exponer el predictor seleccionado y su relación con la existencia de variabilidades espacio-temporales en la provisión azucarera; su perjuicio en términos económicos variables y de esta forma aportar elementos de precisión para las valoraciones del </w:t>
      </w:r>
      <w:r w:rsidR="00325D7B">
        <w:rPr>
          <w:bCs/>
          <w:sz w:val="22"/>
        </w:rPr>
        <w:t>proceso azucarero agroindustrial</w:t>
      </w:r>
      <w:r w:rsidR="002152B3" w:rsidRPr="00B01233">
        <w:rPr>
          <w:bCs/>
          <w:sz w:val="22"/>
        </w:rPr>
        <w:t>. El</w:t>
      </w:r>
      <w:r w:rsidR="002152B3" w:rsidRPr="00B01233">
        <w:rPr>
          <w:sz w:val="22"/>
          <w:lang w:eastAsia="es-ES"/>
        </w:rPr>
        <w:t xml:space="preserve"> </w:t>
      </w:r>
      <w:r w:rsidR="002152B3" w:rsidRPr="00B01233">
        <w:rPr>
          <w:iCs/>
          <w:sz w:val="22"/>
        </w:rPr>
        <w:t xml:space="preserve">modelo predice el comportamiento del indicador </w:t>
      </w:r>
      <w:proofErr w:type="spellStart"/>
      <w:r w:rsidR="002152B3" w:rsidRPr="00B01233">
        <w:rPr>
          <w:sz w:val="22"/>
          <w:lang w:eastAsia="es-ES"/>
        </w:rPr>
        <w:t>I</w:t>
      </w:r>
      <w:r w:rsidR="002152B3" w:rsidRPr="00B01233">
        <w:rPr>
          <w:sz w:val="22"/>
          <w:vertAlign w:val="subscript"/>
          <w:lang w:eastAsia="es-ES"/>
        </w:rPr>
        <w:t>p</w:t>
      </w:r>
      <w:proofErr w:type="spellEnd"/>
      <w:r w:rsidR="002152B3" w:rsidRPr="00B01233">
        <w:rPr>
          <w:sz w:val="22"/>
          <w:vertAlign w:val="subscript"/>
          <w:lang w:eastAsia="es-ES"/>
        </w:rPr>
        <w:t>-DPRE</w:t>
      </w:r>
      <w:r w:rsidR="002152B3" w:rsidRPr="00B01233">
        <w:rPr>
          <w:iCs/>
          <w:sz w:val="22"/>
        </w:rPr>
        <w:t xml:space="preserve"> </w:t>
      </w:r>
      <w:r w:rsidR="00325D7B">
        <w:rPr>
          <w:rFonts w:cs="MinionPro-Regular"/>
          <w:sz w:val="22"/>
        </w:rPr>
        <w:t xml:space="preserve">en términos monetarios; lo que </w:t>
      </w:r>
      <w:r w:rsidR="002152B3" w:rsidRPr="00B01233">
        <w:rPr>
          <w:rFonts w:cs="MinionPro-Regular"/>
          <w:sz w:val="22"/>
        </w:rPr>
        <w:t xml:space="preserve">puede ayudar a internalizar los impactos, en la valoración económica y de acuerdo con </w:t>
      </w:r>
      <w:proofErr w:type="spellStart"/>
      <w:r w:rsidR="002152B3" w:rsidRPr="00B01233">
        <w:rPr>
          <w:rFonts w:cs="MinionPro-It"/>
          <w:iCs/>
          <w:sz w:val="22"/>
        </w:rPr>
        <w:t>Bastian</w:t>
      </w:r>
      <w:proofErr w:type="spellEnd"/>
      <w:r w:rsidR="002152B3" w:rsidRPr="00B01233">
        <w:rPr>
          <w:rFonts w:cs="MinionPro-It"/>
          <w:iCs/>
          <w:sz w:val="22"/>
        </w:rPr>
        <w:t xml:space="preserve"> </w:t>
      </w:r>
      <w:r w:rsidR="002152B3" w:rsidRPr="00B01233">
        <w:rPr>
          <w:rFonts w:cs="MinionPro-It"/>
          <w:bCs/>
          <w:iCs/>
          <w:sz w:val="22"/>
        </w:rPr>
        <w:t>y</w:t>
      </w:r>
      <w:r w:rsidR="002152B3" w:rsidRPr="00B01233">
        <w:rPr>
          <w:rFonts w:cs="MinionPro-It"/>
          <w:iCs/>
          <w:sz w:val="22"/>
        </w:rPr>
        <w:t xml:space="preserve"> </w:t>
      </w:r>
      <w:proofErr w:type="spellStart"/>
      <w:r w:rsidR="002152B3" w:rsidRPr="00B01233">
        <w:rPr>
          <w:rFonts w:cs="MinionPro-It"/>
          <w:iCs/>
          <w:sz w:val="22"/>
        </w:rPr>
        <w:t>Grunewald</w:t>
      </w:r>
      <w:proofErr w:type="spellEnd"/>
      <w:r w:rsidR="002152B3" w:rsidRPr="00B01233">
        <w:rPr>
          <w:rFonts w:cs="MinionPro-It"/>
          <w:iCs/>
          <w:sz w:val="22"/>
        </w:rPr>
        <w:t xml:space="preserve"> (2015) ser útil para mejorar la</w:t>
      </w:r>
      <w:r w:rsidR="002152B3" w:rsidRPr="00B01233">
        <w:rPr>
          <w:rFonts w:cs="MinionPro-Regular"/>
          <w:sz w:val="22"/>
        </w:rPr>
        <w:t xml:space="preserve"> toma de decisiones</w:t>
      </w:r>
      <w:r w:rsidR="002152B3" w:rsidRPr="00B01233">
        <w:rPr>
          <w:rFonts w:cs="MinionPro-It"/>
          <w:iCs/>
          <w:sz w:val="22"/>
        </w:rPr>
        <w:t>.</w:t>
      </w:r>
      <w:r w:rsidR="002152B3" w:rsidRPr="00B01233">
        <w:rPr>
          <w:iCs/>
          <w:sz w:val="22"/>
        </w:rPr>
        <w:t xml:space="preserve"> </w:t>
      </w:r>
      <w:r w:rsidR="00FA0B40" w:rsidRPr="00082C5E">
        <w:rPr>
          <w:iCs/>
          <w:sz w:val="22"/>
        </w:rPr>
        <w:t>Por ello, l</w:t>
      </w:r>
      <w:r w:rsidR="00325D7B" w:rsidRPr="00082C5E">
        <w:rPr>
          <w:bCs/>
          <w:sz w:val="22"/>
        </w:rPr>
        <w:t>a sostenibilidad de</w:t>
      </w:r>
      <w:r w:rsidR="00F91EE3" w:rsidRPr="00082C5E">
        <w:rPr>
          <w:bCs/>
          <w:sz w:val="22"/>
        </w:rPr>
        <w:t xml:space="preserve"> </w:t>
      </w:r>
      <w:r w:rsidR="00FA0B40" w:rsidRPr="00082C5E">
        <w:rPr>
          <w:bCs/>
          <w:sz w:val="22"/>
        </w:rPr>
        <w:t xml:space="preserve">la </w:t>
      </w:r>
      <w:r w:rsidR="00FA0B40" w:rsidRPr="00082C5E">
        <w:rPr>
          <w:bCs/>
          <w:sz w:val="22"/>
        </w:rPr>
        <w:lastRenderedPageBreak/>
        <w:t xml:space="preserve">agroindustria azucarera </w:t>
      </w:r>
      <w:r w:rsidR="00B01233" w:rsidRPr="00082C5E">
        <w:rPr>
          <w:bCs/>
          <w:sz w:val="22"/>
        </w:rPr>
        <w:t>requiere de</w:t>
      </w:r>
      <w:r w:rsidR="00176F25" w:rsidRPr="00082C5E">
        <w:rPr>
          <w:bCs/>
          <w:sz w:val="22"/>
        </w:rPr>
        <w:t xml:space="preserve"> la utilización de</w:t>
      </w:r>
      <w:r w:rsidR="00F91EE3" w:rsidRPr="00082C5E">
        <w:rPr>
          <w:bCs/>
          <w:sz w:val="22"/>
        </w:rPr>
        <w:t xml:space="preserve"> algoritmos de aprendizaje </w:t>
      </w:r>
      <w:r w:rsidR="00FA0B40" w:rsidRPr="00082C5E">
        <w:rPr>
          <w:bCs/>
          <w:sz w:val="22"/>
        </w:rPr>
        <w:t>estadístico y modelos predictivos, así como el</w:t>
      </w:r>
      <w:r w:rsidR="00F91EE3" w:rsidRPr="00082C5E">
        <w:rPr>
          <w:bCs/>
          <w:sz w:val="22"/>
        </w:rPr>
        <w:t xml:space="preserve"> enriquecimiento con nuevos datos para lograr </w:t>
      </w:r>
      <w:r w:rsidR="00B01233" w:rsidRPr="00082C5E">
        <w:rPr>
          <w:bCs/>
          <w:sz w:val="22"/>
        </w:rPr>
        <w:t xml:space="preserve">mayores conocimientos sobre </w:t>
      </w:r>
      <w:r w:rsidR="00F91EE3" w:rsidRPr="00082C5E">
        <w:rPr>
          <w:bCs/>
          <w:sz w:val="22"/>
        </w:rPr>
        <w:t xml:space="preserve">el procesamiento de la caña de azúcar. </w:t>
      </w:r>
      <w:r w:rsidR="00FA0B40" w:rsidRPr="00082C5E">
        <w:rPr>
          <w:bCs/>
          <w:sz w:val="22"/>
        </w:rPr>
        <w:t xml:space="preserve">Lo que concuerda con </w:t>
      </w:r>
      <w:r w:rsidR="00F91EE3" w:rsidRPr="00082C5E">
        <w:rPr>
          <w:iCs/>
          <w:sz w:val="22"/>
        </w:rPr>
        <w:t xml:space="preserve">Ribas </w:t>
      </w:r>
      <w:r w:rsidR="00F91EE3" w:rsidRPr="00082C5E">
        <w:rPr>
          <w:i/>
          <w:iCs/>
          <w:sz w:val="22"/>
        </w:rPr>
        <w:t>et al</w:t>
      </w:r>
      <w:r w:rsidR="00F91EE3" w:rsidRPr="00082C5E">
        <w:rPr>
          <w:iCs/>
          <w:sz w:val="22"/>
        </w:rPr>
        <w:t xml:space="preserve">. (2016), </w:t>
      </w:r>
      <w:r w:rsidR="00FA0B40" w:rsidRPr="00082C5E">
        <w:rPr>
          <w:iCs/>
          <w:sz w:val="22"/>
        </w:rPr>
        <w:t xml:space="preserve">sobre la aplicación de </w:t>
      </w:r>
      <w:r w:rsidR="00176F25" w:rsidRPr="00082C5E">
        <w:rPr>
          <w:iCs/>
          <w:sz w:val="22"/>
        </w:rPr>
        <w:t xml:space="preserve">la estadística </w:t>
      </w:r>
      <w:r w:rsidR="00FA0B40" w:rsidRPr="00082C5E">
        <w:rPr>
          <w:iCs/>
          <w:sz w:val="22"/>
        </w:rPr>
        <w:t xml:space="preserve">en el control de procesos para </w:t>
      </w:r>
      <w:r w:rsidR="00F91EE3" w:rsidRPr="00082C5E">
        <w:rPr>
          <w:iCs/>
          <w:sz w:val="22"/>
        </w:rPr>
        <w:t>la comprensión de las variables tecnológicas de mayor peso,</w:t>
      </w:r>
      <w:r w:rsidR="00FA0B40" w:rsidRPr="00082C5E">
        <w:rPr>
          <w:iCs/>
          <w:sz w:val="22"/>
        </w:rPr>
        <w:t xml:space="preserve"> así como, </w:t>
      </w:r>
      <w:r w:rsidR="00F91EE3" w:rsidRPr="00082C5E">
        <w:rPr>
          <w:iCs/>
          <w:sz w:val="22"/>
        </w:rPr>
        <w:t>influir en la planificación y optimización de los recursos técnicos, humanos, financieros</w:t>
      </w:r>
      <w:r w:rsidR="00FA0B40" w:rsidRPr="00082C5E">
        <w:rPr>
          <w:iCs/>
          <w:sz w:val="22"/>
        </w:rPr>
        <w:t xml:space="preserve">. Según, </w:t>
      </w:r>
      <w:r w:rsidR="00F91EE3" w:rsidRPr="00082C5E">
        <w:rPr>
          <w:iCs/>
          <w:sz w:val="22"/>
        </w:rPr>
        <w:t xml:space="preserve"> </w:t>
      </w:r>
      <w:r w:rsidR="00FA0B40" w:rsidRPr="00082C5E">
        <w:rPr>
          <w:iCs/>
          <w:sz w:val="22"/>
        </w:rPr>
        <w:t>Granja y Vidal (2014), ello puede mejorar los</w:t>
      </w:r>
      <w:r w:rsidR="00F91EE3" w:rsidRPr="00082C5E">
        <w:rPr>
          <w:iCs/>
          <w:sz w:val="22"/>
        </w:rPr>
        <w:t xml:space="preserve"> resultados</w:t>
      </w:r>
      <w:r w:rsidR="00FA0B40" w:rsidRPr="00082C5E">
        <w:rPr>
          <w:iCs/>
          <w:sz w:val="22"/>
        </w:rPr>
        <w:t xml:space="preserve"> productivos,</w:t>
      </w:r>
      <w:r w:rsidR="00F91EE3" w:rsidRPr="00082C5E">
        <w:rPr>
          <w:iCs/>
          <w:sz w:val="22"/>
        </w:rPr>
        <w:t xml:space="preserve"> con la aplicación de diferentes </w:t>
      </w:r>
      <w:r w:rsidR="00FA0B40" w:rsidRPr="00082C5E">
        <w:rPr>
          <w:iCs/>
          <w:sz w:val="22"/>
        </w:rPr>
        <w:t>herramientas gerenciales</w:t>
      </w:r>
      <w:r w:rsidR="00A21A3C">
        <w:rPr>
          <w:iCs/>
          <w:sz w:val="22"/>
        </w:rPr>
        <w:t xml:space="preserve">. </w:t>
      </w:r>
      <w:r w:rsidR="00FA0B40" w:rsidRPr="00082C5E">
        <w:rPr>
          <w:iCs/>
          <w:sz w:val="22"/>
        </w:rPr>
        <w:t>En este sentido</w:t>
      </w:r>
      <w:r w:rsidR="00082C5E">
        <w:rPr>
          <w:iCs/>
          <w:sz w:val="22"/>
        </w:rPr>
        <w:t>,</w:t>
      </w:r>
      <w:r w:rsidR="00FA0B40" w:rsidRPr="00082C5E">
        <w:rPr>
          <w:iCs/>
          <w:sz w:val="22"/>
        </w:rPr>
        <w:t xml:space="preserve"> se puede </w:t>
      </w:r>
      <w:r w:rsidR="00082C5E" w:rsidRPr="00082C5E">
        <w:rPr>
          <w:iCs/>
          <w:sz w:val="22"/>
        </w:rPr>
        <w:t>resumir</w:t>
      </w:r>
      <w:r w:rsidR="00FA0B40" w:rsidRPr="00082C5E">
        <w:rPr>
          <w:iCs/>
          <w:sz w:val="22"/>
        </w:rPr>
        <w:t xml:space="preserve"> que </w:t>
      </w:r>
      <w:r w:rsidR="00F91EE3" w:rsidRPr="00082C5E">
        <w:rPr>
          <w:bCs/>
          <w:sz w:val="22"/>
        </w:rPr>
        <w:t xml:space="preserve">el </w:t>
      </w:r>
      <w:r w:rsidR="00F91EE3" w:rsidRPr="00082C5E">
        <w:rPr>
          <w:bCs/>
          <w:iCs/>
          <w:sz w:val="22"/>
        </w:rPr>
        <w:t>diagnóstico espacio-temporal</w:t>
      </w:r>
      <w:r w:rsidR="00F91EE3" w:rsidRPr="00082C5E">
        <w:rPr>
          <w:bCs/>
          <w:sz w:val="22"/>
        </w:rPr>
        <w:t xml:space="preserve"> </w:t>
      </w:r>
      <w:r w:rsidR="00FA0B40" w:rsidRPr="00082C5E">
        <w:rPr>
          <w:bCs/>
          <w:sz w:val="22"/>
        </w:rPr>
        <w:t xml:space="preserve">mediante </w:t>
      </w:r>
      <w:r w:rsidR="00082C5E" w:rsidRPr="00082C5E">
        <w:rPr>
          <w:bCs/>
          <w:sz w:val="22"/>
        </w:rPr>
        <w:t xml:space="preserve">la utilización de </w:t>
      </w:r>
      <w:r w:rsidR="00F91EE3" w:rsidRPr="00082C5E">
        <w:rPr>
          <w:bCs/>
          <w:sz w:val="22"/>
        </w:rPr>
        <w:t xml:space="preserve">algoritmos de </w:t>
      </w:r>
      <w:r w:rsidR="00325D7B" w:rsidRPr="00082C5E">
        <w:rPr>
          <w:bCs/>
          <w:sz w:val="22"/>
        </w:rPr>
        <w:t>aprendizaje estadístico, modelo</w:t>
      </w:r>
      <w:r w:rsidR="00082C5E">
        <w:rPr>
          <w:bCs/>
          <w:sz w:val="22"/>
        </w:rPr>
        <w:t>s</w:t>
      </w:r>
      <w:r w:rsidR="00F91EE3" w:rsidRPr="00082C5E">
        <w:rPr>
          <w:bCs/>
          <w:sz w:val="22"/>
        </w:rPr>
        <w:t xml:space="preserve"> y predicciones</w:t>
      </w:r>
      <w:r w:rsidR="00082C5E">
        <w:rPr>
          <w:bCs/>
          <w:sz w:val="22"/>
        </w:rPr>
        <w:t>,</w:t>
      </w:r>
      <w:r w:rsidR="00F91EE3" w:rsidRPr="00082C5E">
        <w:rPr>
          <w:bCs/>
          <w:sz w:val="22"/>
        </w:rPr>
        <w:t xml:space="preserve"> </w:t>
      </w:r>
      <w:r w:rsidR="00325D7B" w:rsidRPr="00082C5E">
        <w:rPr>
          <w:bCs/>
          <w:sz w:val="22"/>
        </w:rPr>
        <w:t>puede</w:t>
      </w:r>
      <w:r w:rsidR="00F91EE3" w:rsidRPr="00082C5E">
        <w:rPr>
          <w:bCs/>
          <w:sz w:val="22"/>
        </w:rPr>
        <w:t xml:space="preserve"> derivar en:</w:t>
      </w:r>
      <w:r w:rsidR="00F91EE3" w:rsidRPr="00082C5E">
        <w:rPr>
          <w:bCs/>
          <w:sz w:val="22"/>
          <w:shd w:val="clear" w:color="auto" w:fill="FFE599" w:themeFill="accent4" w:themeFillTint="66"/>
        </w:rPr>
        <w:t xml:space="preserve"> </w:t>
      </w:r>
    </w:p>
    <w:p w14:paraId="0C662DB5" w14:textId="330DDD2A" w:rsidR="00F91EE3" w:rsidRPr="00082C5E" w:rsidRDefault="00F91EE3" w:rsidP="00EA3662">
      <w:pPr>
        <w:numPr>
          <w:ilvl w:val="0"/>
          <w:numId w:val="2"/>
        </w:numPr>
        <w:contextualSpacing/>
        <w:rPr>
          <w:bCs/>
          <w:sz w:val="22"/>
        </w:rPr>
      </w:pPr>
      <w:r w:rsidRPr="00082C5E">
        <w:rPr>
          <w:bCs/>
          <w:sz w:val="22"/>
        </w:rPr>
        <w:t xml:space="preserve">Establecimiento de rangos de trabajo para las variables identificadas como importantes.     </w:t>
      </w:r>
    </w:p>
    <w:p w14:paraId="46F43752" w14:textId="562EBC94" w:rsidR="00F91EE3" w:rsidRPr="00082C5E" w:rsidRDefault="00F91EE3" w:rsidP="00EA3662">
      <w:pPr>
        <w:numPr>
          <w:ilvl w:val="0"/>
          <w:numId w:val="2"/>
        </w:numPr>
        <w:contextualSpacing/>
        <w:rPr>
          <w:bCs/>
          <w:sz w:val="22"/>
        </w:rPr>
      </w:pPr>
      <w:r w:rsidRPr="00082C5E">
        <w:rPr>
          <w:bCs/>
          <w:sz w:val="22"/>
        </w:rPr>
        <w:t xml:space="preserve">Evaluación de procedimientos operacionales y eficiencias en el manejo de recursos, mediante las predicciones de indicadores de los procesos </w:t>
      </w:r>
      <w:r w:rsidR="00082C5E">
        <w:rPr>
          <w:bCs/>
          <w:sz w:val="22"/>
        </w:rPr>
        <w:t>de la agroindustria azucarera</w:t>
      </w:r>
      <w:r w:rsidRPr="00082C5E">
        <w:rPr>
          <w:bCs/>
          <w:sz w:val="22"/>
        </w:rPr>
        <w:t xml:space="preserve">. </w:t>
      </w:r>
    </w:p>
    <w:p w14:paraId="21FB11F8" w14:textId="77777777" w:rsidR="00F91EE3" w:rsidRPr="00082C5E" w:rsidRDefault="00F91EE3" w:rsidP="00EA3662">
      <w:pPr>
        <w:numPr>
          <w:ilvl w:val="0"/>
          <w:numId w:val="2"/>
        </w:numPr>
        <w:contextualSpacing/>
        <w:rPr>
          <w:bCs/>
          <w:sz w:val="22"/>
        </w:rPr>
      </w:pPr>
      <w:r w:rsidRPr="00082C5E">
        <w:rPr>
          <w:bCs/>
          <w:sz w:val="22"/>
        </w:rPr>
        <w:t>Determinación de las causas de conflictos e impactos, para aplicar las soluciones adaptadas para cada caso.</w:t>
      </w:r>
    </w:p>
    <w:p w14:paraId="37ED0E04" w14:textId="77777777" w:rsidR="00F91EE3" w:rsidRPr="00082C5E" w:rsidRDefault="00F91EE3" w:rsidP="00EA3662">
      <w:pPr>
        <w:numPr>
          <w:ilvl w:val="0"/>
          <w:numId w:val="2"/>
        </w:numPr>
        <w:contextualSpacing/>
        <w:rPr>
          <w:bCs/>
          <w:sz w:val="22"/>
        </w:rPr>
      </w:pPr>
      <w:r w:rsidRPr="00082C5E">
        <w:rPr>
          <w:bCs/>
          <w:sz w:val="22"/>
        </w:rPr>
        <w:t>Fomento de d</w:t>
      </w:r>
      <w:r w:rsidR="00325D7B" w:rsidRPr="00082C5E">
        <w:rPr>
          <w:bCs/>
          <w:sz w:val="22"/>
        </w:rPr>
        <w:t xml:space="preserve">ebates entre especialistas y </w:t>
      </w:r>
      <w:r w:rsidRPr="00082C5E">
        <w:rPr>
          <w:bCs/>
          <w:sz w:val="22"/>
        </w:rPr>
        <w:t xml:space="preserve">aprendizaje colectivo para valorar las mejores opciones y sus resultados. </w:t>
      </w:r>
    </w:p>
    <w:p w14:paraId="6F5E2AE6" w14:textId="77777777" w:rsidR="00A21A3C" w:rsidRDefault="00A21A3C" w:rsidP="00EA3662">
      <w:pPr>
        <w:rPr>
          <w:sz w:val="22"/>
        </w:rPr>
      </w:pPr>
    </w:p>
    <w:p w14:paraId="1C3F8EC4" w14:textId="79F260A3" w:rsidR="00F91EE3" w:rsidRPr="00A21A3C" w:rsidRDefault="00B42972" w:rsidP="00EA3662">
      <w:pPr>
        <w:rPr>
          <w:iCs/>
          <w:sz w:val="22"/>
        </w:rPr>
      </w:pPr>
      <w:r w:rsidRPr="00B42972">
        <w:rPr>
          <w:sz w:val="22"/>
        </w:rPr>
        <w:t>Dos importantes cuestiones para la sostenibilidad son: ¿Cómo los ecosistemas y los servicios que proveen cambiaran en el futuro? ¿Y cómo las decisiones humanas inciden en esos cambios? La respuesta a esas cuestiones requiere de la capacidad para predecir los cambios en los procesos ecológicos (</w:t>
      </w:r>
      <w:proofErr w:type="spellStart"/>
      <w:r w:rsidRPr="00B42972">
        <w:rPr>
          <w:sz w:val="22"/>
        </w:rPr>
        <w:t>Dietze</w:t>
      </w:r>
      <w:proofErr w:type="spellEnd"/>
      <w:r w:rsidRPr="00B42972">
        <w:rPr>
          <w:sz w:val="22"/>
        </w:rPr>
        <w:t xml:space="preserve"> </w:t>
      </w:r>
      <w:r w:rsidRPr="00B42972">
        <w:rPr>
          <w:i/>
          <w:sz w:val="22"/>
        </w:rPr>
        <w:t>et al</w:t>
      </w:r>
      <w:r w:rsidRPr="00B42972">
        <w:rPr>
          <w:sz w:val="22"/>
        </w:rPr>
        <w:t xml:space="preserve">., 2018), a lo que se agregan los cambios en los procesos antrópicos y el computo de la brecha productiva entre potencial y real (García </w:t>
      </w:r>
      <w:r w:rsidRPr="00B42972">
        <w:rPr>
          <w:i/>
          <w:sz w:val="22"/>
        </w:rPr>
        <w:t>et al</w:t>
      </w:r>
      <w:r w:rsidRPr="00B42972">
        <w:rPr>
          <w:sz w:val="22"/>
        </w:rPr>
        <w:t xml:space="preserve">., 2022). </w:t>
      </w:r>
      <w:r>
        <w:rPr>
          <w:sz w:val="22"/>
        </w:rPr>
        <w:t>En otras palabras, l</w:t>
      </w:r>
      <w:r w:rsidR="00B01233" w:rsidRPr="00B01233">
        <w:rPr>
          <w:iCs/>
          <w:sz w:val="22"/>
        </w:rPr>
        <w:t>os niveles de eficiencias con que se manejan los recursos implican diferentes impactos económico-ambientales. Un fenómeno como las pérdidas ind</w:t>
      </w:r>
      <w:r w:rsidR="00C02032">
        <w:rPr>
          <w:iCs/>
          <w:sz w:val="22"/>
        </w:rPr>
        <w:t>ustriales</w:t>
      </w:r>
      <w:r w:rsidR="00A21A3C">
        <w:rPr>
          <w:iCs/>
          <w:sz w:val="22"/>
        </w:rPr>
        <w:t>,</w:t>
      </w:r>
      <w:r w:rsidR="00C02032">
        <w:rPr>
          <w:iCs/>
          <w:sz w:val="22"/>
        </w:rPr>
        <w:t xml:space="preserve"> ocasiona un perjuicio</w:t>
      </w:r>
      <w:r w:rsidR="00B01233" w:rsidRPr="00B01233">
        <w:rPr>
          <w:iCs/>
          <w:sz w:val="22"/>
        </w:rPr>
        <w:t xml:space="preserve"> por la</w:t>
      </w:r>
      <w:r w:rsidR="00A21A3C">
        <w:rPr>
          <w:iCs/>
          <w:sz w:val="22"/>
        </w:rPr>
        <w:t xml:space="preserve"> cantidad de azúcar no extraída;</w:t>
      </w:r>
      <w:r w:rsidR="00B01233" w:rsidRPr="00B01233">
        <w:rPr>
          <w:iCs/>
          <w:sz w:val="22"/>
        </w:rPr>
        <w:t xml:space="preserve"> </w:t>
      </w:r>
      <w:r w:rsidR="00A21A3C">
        <w:rPr>
          <w:iCs/>
          <w:sz w:val="22"/>
        </w:rPr>
        <w:t>e incide en</w:t>
      </w:r>
      <w:r w:rsidR="00C02032" w:rsidRPr="00B01233">
        <w:rPr>
          <w:iCs/>
          <w:sz w:val="22"/>
        </w:rPr>
        <w:t xml:space="preserve"> un incremento </w:t>
      </w:r>
      <w:r w:rsidR="00A21A3C">
        <w:rPr>
          <w:iCs/>
          <w:sz w:val="22"/>
        </w:rPr>
        <w:t>de</w:t>
      </w:r>
      <w:r w:rsidR="00C02032" w:rsidRPr="00B01233">
        <w:rPr>
          <w:iCs/>
          <w:sz w:val="22"/>
        </w:rPr>
        <w:t xml:space="preserve"> la cantidad de caña de azúcar a procesar</w:t>
      </w:r>
      <w:r w:rsidR="00C02032">
        <w:rPr>
          <w:iCs/>
          <w:sz w:val="22"/>
        </w:rPr>
        <w:t>,</w:t>
      </w:r>
      <w:r w:rsidR="00C02032" w:rsidRPr="00C02032">
        <w:rPr>
          <w:iCs/>
          <w:sz w:val="22"/>
        </w:rPr>
        <w:t xml:space="preserve"> </w:t>
      </w:r>
      <w:r w:rsidR="00C02032" w:rsidRPr="00B01233">
        <w:rPr>
          <w:iCs/>
          <w:sz w:val="22"/>
        </w:rPr>
        <w:t>para cump</w:t>
      </w:r>
      <w:r w:rsidR="00C02032">
        <w:rPr>
          <w:iCs/>
          <w:sz w:val="22"/>
        </w:rPr>
        <w:t>lir los compromisos pactados.</w:t>
      </w:r>
      <w:r w:rsidR="00C02032" w:rsidRPr="00B01233">
        <w:rPr>
          <w:iCs/>
          <w:sz w:val="22"/>
        </w:rPr>
        <w:t xml:space="preserve"> </w:t>
      </w:r>
      <w:r w:rsidR="00C02032">
        <w:rPr>
          <w:iCs/>
          <w:sz w:val="22"/>
        </w:rPr>
        <w:t>L</w:t>
      </w:r>
      <w:r w:rsidR="00B01233" w:rsidRPr="00B01233">
        <w:rPr>
          <w:iCs/>
          <w:sz w:val="22"/>
        </w:rPr>
        <w:t>o que afecta la relación costo-beneficio y origina una mayor</w:t>
      </w:r>
      <w:r w:rsidR="00A21A3C">
        <w:rPr>
          <w:iCs/>
          <w:sz w:val="22"/>
        </w:rPr>
        <w:t xml:space="preserve"> demanda de recursos naturales. Estos </w:t>
      </w:r>
      <w:r w:rsidR="00B01233" w:rsidRPr="00B01233">
        <w:rPr>
          <w:bCs/>
          <w:sz w:val="22"/>
        </w:rPr>
        <w:t xml:space="preserve">perjuicios </w:t>
      </w:r>
      <w:r w:rsidR="00A21A3C">
        <w:rPr>
          <w:bCs/>
          <w:sz w:val="22"/>
        </w:rPr>
        <w:t xml:space="preserve">relacionados con </w:t>
      </w:r>
      <w:r w:rsidR="00B01233" w:rsidRPr="00B01233">
        <w:rPr>
          <w:bCs/>
          <w:sz w:val="22"/>
        </w:rPr>
        <w:t>el proceso de extracción azucarera, fundamentan el uso de la inteligencia artificial, consistente</w:t>
      </w:r>
      <w:r w:rsidR="00C02032">
        <w:rPr>
          <w:bCs/>
          <w:sz w:val="22"/>
        </w:rPr>
        <w:t xml:space="preserve"> con la visión de industria 4.0. Donde, se</w:t>
      </w:r>
      <w:r w:rsidR="00B01233" w:rsidRPr="00B01233">
        <w:rPr>
          <w:bCs/>
          <w:sz w:val="22"/>
        </w:rPr>
        <w:t xml:space="preserve"> precisa de algoritmos de aprendizaje automático para analizar </w:t>
      </w:r>
      <w:r w:rsidR="00B01233" w:rsidRPr="00B01233">
        <w:rPr>
          <w:bCs/>
          <w:sz w:val="22"/>
        </w:rPr>
        <w:lastRenderedPageBreak/>
        <w:t>diferentes tipos de datos, encontrar relaciones, perfeccionar sistemas y adelantarse a problemas futuros (Lee, 2020).</w:t>
      </w:r>
    </w:p>
    <w:p w14:paraId="4D54AA7A" w14:textId="77777777" w:rsidR="00B01233" w:rsidRPr="00B01233" w:rsidRDefault="00B01233" w:rsidP="00EA3662">
      <w:pPr>
        <w:rPr>
          <w:bCs/>
          <w:sz w:val="22"/>
        </w:rPr>
      </w:pPr>
    </w:p>
    <w:p w14:paraId="441CE9C7" w14:textId="6D95F6C7" w:rsidR="00B01233" w:rsidRDefault="00B01233" w:rsidP="00EA3662">
      <w:pPr>
        <w:rPr>
          <w:b/>
          <w:bCs/>
          <w:sz w:val="22"/>
        </w:rPr>
      </w:pPr>
      <w:r w:rsidRPr="00B01233">
        <w:rPr>
          <w:b/>
          <w:bCs/>
          <w:sz w:val="22"/>
        </w:rPr>
        <w:t xml:space="preserve">Conclusiones </w:t>
      </w:r>
    </w:p>
    <w:p w14:paraId="05497BD8" w14:textId="77777777" w:rsidR="00082C5E" w:rsidRDefault="00176F25" w:rsidP="000E65C6">
      <w:pPr>
        <w:pStyle w:val="DrCTIParrafo"/>
        <w:spacing w:before="0" w:after="0" w:line="360" w:lineRule="auto"/>
        <w:rPr>
          <w:rFonts w:ascii="Arial" w:hAnsi="Arial" w:cs="Arial"/>
          <w:sz w:val="22"/>
          <w:lang w:eastAsia="es-ES"/>
        </w:rPr>
      </w:pPr>
      <w:r w:rsidRPr="00082C5E">
        <w:rPr>
          <w:rFonts w:ascii="Arial" w:hAnsi="Arial" w:cs="Arial"/>
          <w:sz w:val="22"/>
          <w:lang w:eastAsia="es-ES"/>
        </w:rPr>
        <w:t xml:space="preserve">El modelo predictivo </w:t>
      </w:r>
      <w:r w:rsidR="00082C5E" w:rsidRPr="00082C5E">
        <w:rPr>
          <w:rFonts w:ascii="Arial" w:hAnsi="Arial" w:cs="Arial"/>
          <w:sz w:val="22"/>
          <w:lang w:eastAsia="es-ES"/>
        </w:rPr>
        <w:t>evaluado</w:t>
      </w:r>
      <w:r w:rsidRPr="00082C5E">
        <w:rPr>
          <w:rFonts w:ascii="Arial" w:hAnsi="Arial" w:cs="Arial"/>
          <w:sz w:val="22"/>
          <w:lang w:eastAsia="es-ES"/>
        </w:rPr>
        <w:t xml:space="preserve"> constituye una herramienta para el análisis econométrico del proceso azucarero agroindustrial</w:t>
      </w:r>
      <w:r w:rsidR="00082C5E" w:rsidRPr="00082C5E">
        <w:rPr>
          <w:rFonts w:ascii="Arial" w:hAnsi="Arial" w:cs="Arial"/>
          <w:sz w:val="22"/>
          <w:lang w:eastAsia="es-ES"/>
        </w:rPr>
        <w:t xml:space="preserve">. </w:t>
      </w:r>
      <w:r w:rsidR="004D28CE" w:rsidRPr="00082C5E">
        <w:rPr>
          <w:rFonts w:ascii="Arial" w:hAnsi="Arial" w:cs="Arial"/>
          <w:sz w:val="22"/>
          <w:lang w:eastAsia="es-ES"/>
        </w:rPr>
        <w:t xml:space="preserve"> </w:t>
      </w:r>
    </w:p>
    <w:p w14:paraId="2E24379C" w14:textId="6F20CEF4" w:rsidR="004D28CE" w:rsidRPr="00082C5E" w:rsidRDefault="00082C5E" w:rsidP="000E65C6">
      <w:pPr>
        <w:pStyle w:val="DrCTIParrafo"/>
        <w:spacing w:before="0" w:after="0" w:line="360" w:lineRule="auto"/>
        <w:rPr>
          <w:rFonts w:ascii="Arial" w:hAnsi="Arial" w:cs="Arial"/>
          <w:sz w:val="22"/>
          <w:lang w:eastAsia="es-ES"/>
        </w:rPr>
      </w:pPr>
      <w:r w:rsidRPr="00082C5E">
        <w:rPr>
          <w:rFonts w:ascii="Arial" w:hAnsi="Arial" w:cs="Arial"/>
          <w:sz w:val="22"/>
        </w:rPr>
        <w:t>El</w:t>
      </w:r>
      <w:r w:rsidR="00176F25" w:rsidRPr="00082C5E">
        <w:rPr>
          <w:rFonts w:ascii="Arial" w:hAnsi="Arial" w:cs="Arial"/>
          <w:sz w:val="22"/>
        </w:rPr>
        <w:t xml:space="preserve"> perjuicio por distanciamiento entre el potencial que posee este cultivo </w:t>
      </w:r>
      <w:r w:rsidRPr="00082C5E">
        <w:rPr>
          <w:rFonts w:ascii="Arial" w:hAnsi="Arial" w:cs="Arial"/>
          <w:sz w:val="22"/>
        </w:rPr>
        <w:t>y la producción de azúcar, puede llegar hasta un valor de 30 USD t</w:t>
      </w:r>
      <w:r w:rsidRPr="00082C5E">
        <w:rPr>
          <w:rFonts w:ascii="Arial" w:hAnsi="Arial" w:cs="Arial"/>
          <w:sz w:val="22"/>
          <w:vertAlign w:val="superscript"/>
        </w:rPr>
        <w:t>-1</w:t>
      </w:r>
      <w:r w:rsidRPr="00082C5E">
        <w:rPr>
          <w:rFonts w:ascii="Arial" w:hAnsi="Arial" w:cs="Arial"/>
          <w:sz w:val="22"/>
        </w:rPr>
        <w:t xml:space="preserve"> de caña molida,</w:t>
      </w:r>
      <w:r w:rsidR="00176F25" w:rsidRPr="00082C5E">
        <w:rPr>
          <w:rFonts w:ascii="Arial" w:hAnsi="Arial" w:cs="Arial"/>
          <w:sz w:val="22"/>
        </w:rPr>
        <w:t xml:space="preserve"> en función de las condiciones analizadas en el trabajo</w:t>
      </w:r>
      <w:r w:rsidRPr="00082C5E">
        <w:rPr>
          <w:rFonts w:ascii="Arial" w:hAnsi="Arial" w:cs="Arial"/>
          <w:sz w:val="22"/>
        </w:rPr>
        <w:t xml:space="preserve">. </w:t>
      </w:r>
      <w:r w:rsidR="00176F25" w:rsidRPr="00082C5E">
        <w:rPr>
          <w:rFonts w:ascii="Arial" w:hAnsi="Arial" w:cs="Arial"/>
          <w:sz w:val="22"/>
        </w:rPr>
        <w:t xml:space="preserve"> </w:t>
      </w:r>
    </w:p>
    <w:p w14:paraId="3E762BEC" w14:textId="71C10286" w:rsidR="00226660" w:rsidRPr="000E65C6" w:rsidRDefault="005F386B" w:rsidP="000E65C6">
      <w:pPr>
        <w:rPr>
          <w:rFonts w:cs="Arial"/>
          <w:sz w:val="22"/>
        </w:rPr>
      </w:pPr>
      <w:r w:rsidRPr="000E65C6">
        <w:rPr>
          <w:bCs/>
          <w:sz w:val="22"/>
        </w:rPr>
        <w:t>L</w:t>
      </w:r>
      <w:r w:rsidR="00796B31" w:rsidRPr="000E65C6">
        <w:rPr>
          <w:bCs/>
          <w:sz w:val="22"/>
        </w:rPr>
        <w:t xml:space="preserve">a </w:t>
      </w:r>
      <w:r w:rsidR="00226660" w:rsidRPr="000E65C6">
        <w:rPr>
          <w:bCs/>
          <w:sz w:val="22"/>
        </w:rPr>
        <w:t>analítica predictiva</w:t>
      </w:r>
      <w:r w:rsidRPr="000E65C6">
        <w:rPr>
          <w:bCs/>
          <w:sz w:val="22"/>
        </w:rPr>
        <w:t xml:space="preserve"> realizada, </w:t>
      </w:r>
      <w:r w:rsidR="00226660" w:rsidRPr="000E65C6">
        <w:rPr>
          <w:bCs/>
          <w:sz w:val="22"/>
        </w:rPr>
        <w:t xml:space="preserve">evidencia lo recomendable que </w:t>
      </w:r>
      <w:r w:rsidRPr="000E65C6">
        <w:rPr>
          <w:bCs/>
          <w:sz w:val="22"/>
        </w:rPr>
        <w:t>es</w:t>
      </w:r>
      <w:r w:rsidR="00226660" w:rsidRPr="000E65C6">
        <w:rPr>
          <w:bCs/>
          <w:sz w:val="22"/>
        </w:rPr>
        <w:t xml:space="preserve"> </w:t>
      </w:r>
      <w:r w:rsidRPr="000E65C6">
        <w:rPr>
          <w:bCs/>
          <w:sz w:val="22"/>
        </w:rPr>
        <w:t>la utilización de algoritmos de aprendizaje estadístico</w:t>
      </w:r>
      <w:r w:rsidR="00226660" w:rsidRPr="000E65C6">
        <w:rPr>
          <w:bCs/>
          <w:sz w:val="22"/>
        </w:rPr>
        <w:t xml:space="preserve">, consistente con una visión de industria 4.0, para mejorar </w:t>
      </w:r>
      <w:r w:rsidRPr="000E65C6">
        <w:rPr>
          <w:bCs/>
          <w:sz w:val="22"/>
        </w:rPr>
        <w:t>la</w:t>
      </w:r>
      <w:r w:rsidR="00226660" w:rsidRPr="000E65C6">
        <w:rPr>
          <w:bCs/>
          <w:sz w:val="22"/>
        </w:rPr>
        <w:t xml:space="preserve"> toma de decisiones</w:t>
      </w:r>
      <w:r w:rsidRPr="000E65C6">
        <w:rPr>
          <w:bCs/>
          <w:sz w:val="22"/>
        </w:rPr>
        <w:t>,</w:t>
      </w:r>
      <w:r w:rsidR="00226660" w:rsidRPr="000E65C6">
        <w:rPr>
          <w:bCs/>
          <w:sz w:val="22"/>
        </w:rPr>
        <w:t xml:space="preserve"> en un contexto azucarero</w:t>
      </w:r>
      <w:r w:rsidR="00D338B4" w:rsidRPr="000E65C6">
        <w:rPr>
          <w:bCs/>
          <w:sz w:val="22"/>
        </w:rPr>
        <w:t xml:space="preserve"> agroindustrial</w:t>
      </w:r>
      <w:r w:rsidR="00226660" w:rsidRPr="000E65C6">
        <w:rPr>
          <w:bCs/>
          <w:sz w:val="22"/>
        </w:rPr>
        <w:t xml:space="preserve">. </w:t>
      </w:r>
    </w:p>
    <w:p w14:paraId="567FC4D0" w14:textId="77777777" w:rsidR="004D28CE" w:rsidRDefault="004D28CE" w:rsidP="00EA3662">
      <w:pPr>
        <w:rPr>
          <w:b/>
          <w:bCs/>
          <w:sz w:val="22"/>
        </w:rPr>
      </w:pPr>
    </w:p>
    <w:p w14:paraId="7EAE55B9" w14:textId="66C265AF" w:rsidR="004B3E23" w:rsidRDefault="00EA3662" w:rsidP="00EA3662">
      <w:pPr>
        <w:rPr>
          <w:b/>
          <w:bCs/>
          <w:sz w:val="22"/>
        </w:rPr>
      </w:pPr>
      <w:r>
        <w:rPr>
          <w:b/>
          <w:bCs/>
          <w:sz w:val="22"/>
        </w:rPr>
        <w:t>Bibliografía</w:t>
      </w:r>
    </w:p>
    <w:p w14:paraId="011B8535" w14:textId="60E5BBDF" w:rsidR="00AD5A33" w:rsidRPr="00C64518" w:rsidRDefault="00AD5A33" w:rsidP="00EA3662">
      <w:pPr>
        <w:ind w:left="426" w:hanging="426"/>
        <w:rPr>
          <w:rFonts w:cs="Arial"/>
          <w:sz w:val="22"/>
        </w:rPr>
      </w:pPr>
      <w:r w:rsidRPr="00C64518">
        <w:rPr>
          <w:rFonts w:cs="Arial"/>
          <w:sz w:val="22"/>
        </w:rPr>
        <w:t xml:space="preserve">Andrade V. y Flores, P. (2018). Comparativa entre </w:t>
      </w:r>
      <w:proofErr w:type="spellStart"/>
      <w:r w:rsidRPr="00C64518">
        <w:rPr>
          <w:rFonts w:cs="Arial"/>
          <w:sz w:val="22"/>
        </w:rPr>
        <w:t>classification</w:t>
      </w:r>
      <w:proofErr w:type="spellEnd"/>
      <w:r w:rsidRPr="00C64518">
        <w:rPr>
          <w:rFonts w:cs="Arial"/>
          <w:sz w:val="22"/>
        </w:rPr>
        <w:t xml:space="preserve"> </w:t>
      </w:r>
      <w:proofErr w:type="spellStart"/>
      <w:r w:rsidRPr="00C64518">
        <w:rPr>
          <w:rFonts w:cs="Arial"/>
          <w:sz w:val="22"/>
        </w:rPr>
        <w:t>trees</w:t>
      </w:r>
      <w:proofErr w:type="spellEnd"/>
      <w:r w:rsidRPr="00C64518">
        <w:rPr>
          <w:rFonts w:cs="Arial"/>
          <w:sz w:val="22"/>
        </w:rPr>
        <w:t xml:space="preserve">, </w:t>
      </w:r>
      <w:proofErr w:type="spellStart"/>
      <w:r w:rsidRPr="00C64518">
        <w:rPr>
          <w:rFonts w:cs="Arial"/>
          <w:sz w:val="22"/>
        </w:rPr>
        <w:t>random</w:t>
      </w:r>
      <w:proofErr w:type="spellEnd"/>
      <w:r w:rsidRPr="00C64518">
        <w:rPr>
          <w:rFonts w:cs="Arial"/>
          <w:sz w:val="22"/>
        </w:rPr>
        <w:t xml:space="preserve"> </w:t>
      </w:r>
      <w:proofErr w:type="spellStart"/>
      <w:r w:rsidRPr="00C64518">
        <w:rPr>
          <w:rFonts w:cs="Arial"/>
          <w:sz w:val="22"/>
        </w:rPr>
        <w:t>forest</w:t>
      </w:r>
      <w:proofErr w:type="spellEnd"/>
      <w:r w:rsidRPr="00C64518">
        <w:rPr>
          <w:rFonts w:cs="Arial"/>
          <w:sz w:val="22"/>
        </w:rPr>
        <w:t xml:space="preserve"> y </w:t>
      </w:r>
      <w:proofErr w:type="spellStart"/>
      <w:r w:rsidRPr="00C64518">
        <w:rPr>
          <w:rFonts w:cs="Arial"/>
          <w:sz w:val="22"/>
        </w:rPr>
        <w:t>gradient</w:t>
      </w:r>
      <w:proofErr w:type="spellEnd"/>
      <w:r w:rsidRPr="00C64518">
        <w:rPr>
          <w:rFonts w:cs="Arial"/>
          <w:sz w:val="22"/>
        </w:rPr>
        <w:t xml:space="preserve"> </w:t>
      </w:r>
      <w:proofErr w:type="spellStart"/>
      <w:r w:rsidRPr="00C64518">
        <w:rPr>
          <w:rFonts w:cs="Arial"/>
          <w:sz w:val="22"/>
        </w:rPr>
        <w:t>boosting</w:t>
      </w:r>
      <w:proofErr w:type="spellEnd"/>
      <w:r w:rsidRPr="00C64518">
        <w:rPr>
          <w:rFonts w:cs="Arial"/>
          <w:sz w:val="22"/>
        </w:rPr>
        <w:t xml:space="preserve">, en la predicción de la satisfacción laboral en Ecuador. </w:t>
      </w:r>
      <w:r w:rsidRPr="00C64518">
        <w:rPr>
          <w:rFonts w:cs="Arial"/>
          <w:i/>
          <w:sz w:val="22"/>
        </w:rPr>
        <w:t>Ciencia Digital</w:t>
      </w:r>
      <w:r w:rsidRPr="00C64518">
        <w:rPr>
          <w:rFonts w:cs="Arial"/>
          <w:sz w:val="22"/>
        </w:rPr>
        <w:t xml:space="preserve">, 2, (4.1), 42-54. </w:t>
      </w:r>
      <w:hyperlink r:id="rId13" w:history="1">
        <w:r w:rsidRPr="00C64518">
          <w:rPr>
            <w:rStyle w:val="Hipervnculo"/>
            <w:rFonts w:cs="Arial"/>
            <w:sz w:val="22"/>
          </w:rPr>
          <w:t>https://doi.org/10.33262/cienciadigital.v2i4.1..189</w:t>
        </w:r>
      </w:hyperlink>
      <w:r w:rsidRPr="00C64518">
        <w:rPr>
          <w:rFonts w:cs="Arial"/>
          <w:sz w:val="22"/>
        </w:rPr>
        <w:t xml:space="preserve">   </w:t>
      </w:r>
    </w:p>
    <w:p w14:paraId="17D2046B" w14:textId="25FA4A5D" w:rsidR="00AD5A33" w:rsidRPr="00C64518" w:rsidRDefault="00AD5A33" w:rsidP="00EA3662">
      <w:pPr>
        <w:ind w:left="426" w:hanging="426"/>
        <w:rPr>
          <w:rFonts w:cs="Arial"/>
          <w:sz w:val="22"/>
          <w:lang w:val="en-US"/>
        </w:rPr>
      </w:pPr>
      <w:proofErr w:type="spellStart"/>
      <w:r w:rsidRPr="00782902">
        <w:rPr>
          <w:rFonts w:cs="Arial"/>
          <w:sz w:val="22"/>
        </w:rPr>
        <w:t>Bastian</w:t>
      </w:r>
      <w:proofErr w:type="spellEnd"/>
      <w:r w:rsidRPr="00782902">
        <w:rPr>
          <w:rFonts w:cs="Arial"/>
          <w:sz w:val="22"/>
        </w:rPr>
        <w:t>, O.</w:t>
      </w:r>
      <w:r w:rsidR="00782902">
        <w:rPr>
          <w:rFonts w:cs="Arial"/>
          <w:sz w:val="22"/>
        </w:rPr>
        <w:t xml:space="preserve"> y</w:t>
      </w:r>
      <w:r w:rsidRPr="00782902">
        <w:rPr>
          <w:rFonts w:cs="Arial"/>
          <w:sz w:val="22"/>
        </w:rPr>
        <w:t xml:space="preserve"> </w:t>
      </w:r>
      <w:proofErr w:type="spellStart"/>
      <w:r w:rsidRPr="00782902">
        <w:rPr>
          <w:rFonts w:cs="Arial"/>
          <w:sz w:val="22"/>
        </w:rPr>
        <w:t>Grunewald</w:t>
      </w:r>
      <w:proofErr w:type="spellEnd"/>
      <w:r w:rsidRPr="00782902">
        <w:rPr>
          <w:rFonts w:cs="Arial"/>
          <w:sz w:val="22"/>
        </w:rPr>
        <w:t xml:space="preserve">, K. (2015). </w:t>
      </w:r>
      <w:r w:rsidRPr="00C64518">
        <w:rPr>
          <w:rFonts w:cs="Arial"/>
          <w:bCs/>
          <w:sz w:val="22"/>
          <w:lang w:val="en-US"/>
        </w:rPr>
        <w:t xml:space="preserve">Properties, Potentials and Services of Ecosystems”. In: </w:t>
      </w:r>
      <w:r w:rsidRPr="00C64518">
        <w:rPr>
          <w:rFonts w:cs="Arial"/>
          <w:sz w:val="22"/>
          <w:lang w:val="en-US"/>
        </w:rPr>
        <w:t xml:space="preserve">Grunewald, K., &amp; Bastian, O. (Eds), </w:t>
      </w:r>
      <w:r w:rsidRPr="00C64518">
        <w:rPr>
          <w:rFonts w:cs="Arial"/>
          <w:i/>
          <w:sz w:val="22"/>
          <w:lang w:val="en-US"/>
        </w:rPr>
        <w:t xml:space="preserve">Ecosystem Services – Concept, Methods and Case Studies </w:t>
      </w:r>
      <w:r w:rsidRPr="00C64518">
        <w:rPr>
          <w:rFonts w:cs="Arial"/>
          <w:sz w:val="22"/>
          <w:lang w:val="en-US"/>
        </w:rPr>
        <w:t xml:space="preserve">(pp. 36-45). Berlin (Germany): Springer. </w:t>
      </w:r>
      <w:r w:rsidRPr="00C64518">
        <w:rPr>
          <w:rFonts w:cs="Arial"/>
          <w:sz w:val="22"/>
          <w:lang w:val="en-GB"/>
        </w:rPr>
        <w:t>doi:10.1007/978-3-662-44143-5_3</w:t>
      </w:r>
    </w:p>
    <w:p w14:paraId="6F003F42" w14:textId="0E0398BF" w:rsidR="00AD5A33" w:rsidRPr="00C64518" w:rsidRDefault="00AD5A33" w:rsidP="00EA3662">
      <w:pPr>
        <w:ind w:left="426" w:hanging="426"/>
        <w:rPr>
          <w:rFonts w:eastAsia="AdvP4DF60E" w:cs="Arial"/>
          <w:sz w:val="22"/>
          <w:lang w:eastAsia="es-DO"/>
        </w:rPr>
      </w:pPr>
      <w:proofErr w:type="spellStart"/>
      <w:r w:rsidRPr="00C64518">
        <w:rPr>
          <w:rFonts w:cs="Arial"/>
          <w:sz w:val="22"/>
          <w:lang w:val="en-US" w:eastAsia="es-DO"/>
        </w:rPr>
        <w:t>Bogunovic</w:t>
      </w:r>
      <w:proofErr w:type="spellEnd"/>
      <w:r w:rsidRPr="00C64518">
        <w:rPr>
          <w:rFonts w:cs="Arial"/>
          <w:sz w:val="22"/>
          <w:lang w:val="en-US" w:eastAsia="es-DO"/>
        </w:rPr>
        <w:t xml:space="preserve">, I., Trevisani, S., </w:t>
      </w:r>
      <w:proofErr w:type="spellStart"/>
      <w:r w:rsidRPr="00C64518">
        <w:rPr>
          <w:rFonts w:cs="Arial"/>
          <w:sz w:val="22"/>
          <w:lang w:val="en-US" w:eastAsia="es-DO"/>
        </w:rPr>
        <w:t>Seput</w:t>
      </w:r>
      <w:proofErr w:type="spellEnd"/>
      <w:r w:rsidRPr="00C64518">
        <w:rPr>
          <w:rFonts w:cs="Arial"/>
          <w:sz w:val="22"/>
          <w:lang w:val="en-US" w:eastAsia="es-DO"/>
        </w:rPr>
        <w:t xml:space="preserve">, M., </w:t>
      </w:r>
      <w:proofErr w:type="spellStart"/>
      <w:r w:rsidRPr="00C64518">
        <w:rPr>
          <w:rFonts w:cs="Arial"/>
          <w:sz w:val="22"/>
          <w:lang w:val="en-US" w:eastAsia="es-DO"/>
        </w:rPr>
        <w:t>Juzbasic</w:t>
      </w:r>
      <w:proofErr w:type="spellEnd"/>
      <w:r w:rsidRPr="00C64518">
        <w:rPr>
          <w:rFonts w:cs="Arial"/>
          <w:sz w:val="22"/>
          <w:lang w:val="en-US" w:eastAsia="es-DO"/>
        </w:rPr>
        <w:t>, D.</w:t>
      </w:r>
      <w:proofErr w:type="gramStart"/>
      <w:r w:rsidRPr="00C64518">
        <w:rPr>
          <w:rFonts w:cs="Arial"/>
          <w:sz w:val="22"/>
          <w:lang w:val="en-US" w:eastAsia="es-DO"/>
        </w:rPr>
        <w:t xml:space="preserve">,  </w:t>
      </w:r>
      <w:proofErr w:type="spellStart"/>
      <w:r w:rsidRPr="00C64518">
        <w:rPr>
          <w:rFonts w:cs="Arial"/>
          <w:sz w:val="22"/>
          <w:lang w:val="en-US" w:eastAsia="es-DO"/>
        </w:rPr>
        <w:t>Durdevic</w:t>
      </w:r>
      <w:proofErr w:type="spellEnd"/>
      <w:proofErr w:type="gramEnd"/>
      <w:r w:rsidRPr="00C64518">
        <w:rPr>
          <w:rFonts w:cs="Arial"/>
          <w:sz w:val="22"/>
          <w:lang w:val="en-US" w:eastAsia="es-DO"/>
        </w:rPr>
        <w:t xml:space="preserve">, B. (2017). Short-range and regional spatial variability of soil chemical properties in an agro-ecosystem in eastern Croatia. </w:t>
      </w:r>
      <w:r w:rsidRPr="00C64518">
        <w:rPr>
          <w:rFonts w:cs="Arial"/>
          <w:i/>
          <w:sz w:val="22"/>
          <w:lang w:eastAsia="es-DO"/>
        </w:rPr>
        <w:t>Catena</w:t>
      </w:r>
      <w:r w:rsidRPr="00C64518">
        <w:rPr>
          <w:rFonts w:cs="Arial"/>
          <w:sz w:val="22"/>
          <w:lang w:eastAsia="es-DO"/>
        </w:rPr>
        <w:t xml:space="preserve">, 154, 50–62. DOI: </w:t>
      </w:r>
      <w:hyperlink r:id="rId14" w:history="1">
        <w:r w:rsidRPr="00C64518">
          <w:rPr>
            <w:rStyle w:val="Hipervnculo"/>
            <w:rFonts w:cs="Arial"/>
            <w:sz w:val="22"/>
            <w:lang w:eastAsia="es-DO"/>
          </w:rPr>
          <w:t>http://dx.doi.org/10.1016/j.catena.2017.02.018</w:t>
        </w:r>
      </w:hyperlink>
    </w:p>
    <w:p w14:paraId="7787A9C4" w14:textId="1810682B" w:rsidR="00AD5A33" w:rsidRDefault="00AD5A33" w:rsidP="00EA3662">
      <w:pPr>
        <w:ind w:left="426" w:hanging="426"/>
        <w:rPr>
          <w:rFonts w:cs="Arial"/>
          <w:sz w:val="22"/>
        </w:rPr>
      </w:pPr>
      <w:r w:rsidRPr="00C64518">
        <w:rPr>
          <w:rFonts w:cs="Arial"/>
          <w:sz w:val="22"/>
        </w:rPr>
        <w:t xml:space="preserve">Cabrera, A. y Rodríguez, R. (2015). Perfeccionamiento de estimados fabriles en la Unidad Empresarial de Base central azucarero “Paquito Rosales”, de la provincia Santiago de Cuba. </w:t>
      </w:r>
      <w:r w:rsidRPr="00C64518">
        <w:rPr>
          <w:rFonts w:cs="Arial"/>
          <w:i/>
          <w:sz w:val="22"/>
        </w:rPr>
        <w:t>Anuario Facultad de Ciencias Económicas y Empresariales</w:t>
      </w:r>
      <w:r w:rsidRPr="00C64518">
        <w:rPr>
          <w:rFonts w:cs="Arial"/>
          <w:sz w:val="22"/>
        </w:rPr>
        <w:t xml:space="preserve">, Número Especial. 73-84. </w:t>
      </w:r>
      <w:hyperlink r:id="rId15" w:history="1">
        <w:r w:rsidRPr="00C64518">
          <w:rPr>
            <w:rStyle w:val="Hipervnculo"/>
            <w:rFonts w:cs="Arial"/>
            <w:sz w:val="22"/>
          </w:rPr>
          <w:t>https://revistas.uo.edu.cu/index.php/aeco/article/viewFile/545/521</w:t>
        </w:r>
      </w:hyperlink>
      <w:r w:rsidRPr="00C64518">
        <w:rPr>
          <w:rFonts w:cs="Arial"/>
          <w:sz w:val="22"/>
        </w:rPr>
        <w:t xml:space="preserve"> </w:t>
      </w:r>
    </w:p>
    <w:p w14:paraId="2A88C442" w14:textId="5DEC35BE" w:rsidR="00AD5A33" w:rsidRPr="00C64518" w:rsidRDefault="00AD5A33" w:rsidP="00EA3662">
      <w:pPr>
        <w:ind w:left="426" w:hanging="426"/>
        <w:rPr>
          <w:rStyle w:val="Hipervnculo"/>
          <w:rFonts w:cs="Arial"/>
          <w:color w:val="auto"/>
          <w:sz w:val="22"/>
          <w:u w:val="none"/>
        </w:rPr>
      </w:pPr>
      <w:r w:rsidRPr="00C64518">
        <w:rPr>
          <w:rFonts w:cs="Arial"/>
          <w:bCs/>
          <w:iCs/>
          <w:sz w:val="22"/>
        </w:rPr>
        <w:t xml:space="preserve">Cala, Y., Pacheco, U. </w:t>
      </w:r>
      <w:r w:rsidRPr="00C64518">
        <w:rPr>
          <w:rFonts w:cs="Arial"/>
          <w:sz w:val="22"/>
        </w:rPr>
        <w:t xml:space="preserve">y </w:t>
      </w:r>
      <w:r w:rsidRPr="00C64518">
        <w:rPr>
          <w:rFonts w:cs="Arial"/>
          <w:bCs/>
          <w:iCs/>
          <w:sz w:val="22"/>
        </w:rPr>
        <w:t>Sánchez, M</w:t>
      </w:r>
      <w:r w:rsidRPr="00C64518">
        <w:rPr>
          <w:rFonts w:cs="Arial"/>
          <w:bCs/>
          <w:i/>
          <w:iCs/>
          <w:sz w:val="22"/>
        </w:rPr>
        <w:t xml:space="preserve">. </w:t>
      </w:r>
      <w:r w:rsidRPr="00C64518">
        <w:rPr>
          <w:rFonts w:cs="Arial"/>
          <w:bCs/>
          <w:iCs/>
          <w:sz w:val="22"/>
        </w:rPr>
        <w:t xml:space="preserve">(2020). </w:t>
      </w:r>
      <w:r w:rsidRPr="00C64518">
        <w:rPr>
          <w:rFonts w:cs="Arial"/>
          <w:bCs/>
          <w:sz w:val="22"/>
        </w:rPr>
        <w:t>Análisis de indicadores de eficiencia productiva y perspectivas de la industria azucarera en Santiago de Cuba.</w:t>
      </w:r>
      <w:r w:rsidRPr="00C64518">
        <w:rPr>
          <w:rFonts w:cs="Arial"/>
          <w:sz w:val="22"/>
        </w:rPr>
        <w:t xml:space="preserve"> </w:t>
      </w:r>
      <w:r w:rsidRPr="00C64518">
        <w:rPr>
          <w:rFonts w:cs="Arial"/>
          <w:i/>
          <w:sz w:val="22"/>
        </w:rPr>
        <w:t>AFCEE</w:t>
      </w:r>
      <w:r w:rsidRPr="00C64518">
        <w:rPr>
          <w:rFonts w:cs="Arial"/>
          <w:sz w:val="22"/>
        </w:rPr>
        <w:t xml:space="preserve">, Número especial. </w:t>
      </w:r>
      <w:hyperlink r:id="rId16" w:history="1">
        <w:r w:rsidR="00457515" w:rsidRPr="0078442A">
          <w:rPr>
            <w:rStyle w:val="Hipervnculo"/>
            <w:rFonts w:cs="Arial"/>
            <w:sz w:val="22"/>
          </w:rPr>
          <w:t>https://www.google.com/url?esrc=s&amp;q=&amp;rct=j&amp;sa=U&amp;url=https://anuarioeco.uo.edu.cu/index.php/aeco/article/view/5144/4617&amp;ved=2ahUKEwiMl93V3fvxAhXqRTABHR9qBhYQFjADegQICBAB&amp;usg=AOvVaw0TQglq602lyZw1ZZAYgaFZ</w:t>
        </w:r>
      </w:hyperlink>
    </w:p>
    <w:p w14:paraId="5BDDDBC9" w14:textId="199DFF99" w:rsidR="00AD5A33" w:rsidRPr="00C64518" w:rsidRDefault="00AD5A33" w:rsidP="00EA3662">
      <w:pPr>
        <w:ind w:left="426" w:hanging="426"/>
        <w:rPr>
          <w:rFonts w:cs="Arial"/>
          <w:sz w:val="22"/>
        </w:rPr>
      </w:pPr>
      <w:r w:rsidRPr="00C64518">
        <w:rPr>
          <w:rFonts w:cs="Arial"/>
          <w:sz w:val="22"/>
        </w:rPr>
        <w:lastRenderedPageBreak/>
        <w:t>Carrasquilla, A., Chacón, A., Núñez, K., Gómez</w:t>
      </w:r>
      <w:r w:rsidR="00782902">
        <w:rPr>
          <w:rFonts w:cs="Arial"/>
          <w:sz w:val="22"/>
        </w:rPr>
        <w:t xml:space="preserve">, </w:t>
      </w:r>
      <w:r w:rsidRPr="00C64518">
        <w:rPr>
          <w:rFonts w:cs="Arial"/>
          <w:sz w:val="22"/>
        </w:rPr>
        <w:t>O.,</w:t>
      </w:r>
      <w:r w:rsidR="00782902">
        <w:rPr>
          <w:rFonts w:cs="Arial"/>
          <w:sz w:val="22"/>
        </w:rPr>
        <w:t xml:space="preserve"> </w:t>
      </w:r>
      <w:r w:rsidRPr="00C64518">
        <w:rPr>
          <w:rFonts w:cs="Arial"/>
          <w:sz w:val="22"/>
        </w:rPr>
        <w:t>Valverde, J.</w:t>
      </w:r>
      <w:r w:rsidR="00782902">
        <w:rPr>
          <w:rFonts w:cs="Arial"/>
          <w:sz w:val="22"/>
        </w:rPr>
        <w:t>,</w:t>
      </w:r>
      <w:r w:rsidRPr="00C64518">
        <w:rPr>
          <w:rFonts w:cs="Arial"/>
          <w:sz w:val="22"/>
        </w:rPr>
        <w:t xml:space="preserve"> Guerrero, M. (2016). Regresión lineal simple y múltiple: aplicación en la predicción de variables naturales relacionadas con el crecimiento </w:t>
      </w:r>
      <w:proofErr w:type="spellStart"/>
      <w:r w:rsidRPr="00C64518">
        <w:rPr>
          <w:rFonts w:cs="Arial"/>
          <w:sz w:val="22"/>
        </w:rPr>
        <w:t>microalgal</w:t>
      </w:r>
      <w:proofErr w:type="spellEnd"/>
      <w:r w:rsidRPr="00C64518">
        <w:rPr>
          <w:rFonts w:cs="Arial"/>
          <w:sz w:val="22"/>
        </w:rPr>
        <w:t xml:space="preserve">. </w:t>
      </w:r>
      <w:r w:rsidRPr="00C64518">
        <w:rPr>
          <w:rFonts w:cs="Arial"/>
          <w:i/>
          <w:iCs/>
          <w:sz w:val="22"/>
        </w:rPr>
        <w:t>Tecnología en Marcha</w:t>
      </w:r>
      <w:r w:rsidRPr="00C64518">
        <w:rPr>
          <w:rFonts w:cs="Arial"/>
          <w:sz w:val="22"/>
        </w:rPr>
        <w:t>, 29, 33-45. doi:10.18845/tm.v29i8.2983</w:t>
      </w:r>
    </w:p>
    <w:p w14:paraId="6945969E" w14:textId="084111FF" w:rsidR="00AD5A33" w:rsidRPr="00C64518" w:rsidRDefault="00AD5A33" w:rsidP="00EA3662">
      <w:pPr>
        <w:pStyle w:val="Textocomentario"/>
        <w:spacing w:line="360" w:lineRule="auto"/>
        <w:ind w:left="426" w:hanging="426"/>
        <w:rPr>
          <w:rFonts w:ascii="Arial" w:hAnsi="Arial" w:cs="Arial"/>
          <w:color w:val="FF0000"/>
          <w:sz w:val="22"/>
          <w:szCs w:val="22"/>
        </w:rPr>
      </w:pPr>
      <w:r w:rsidRPr="00C64518">
        <w:rPr>
          <w:rFonts w:ascii="Arial" w:hAnsi="Arial" w:cs="Arial"/>
          <w:iCs/>
          <w:color w:val="000000"/>
          <w:sz w:val="22"/>
          <w:szCs w:val="22"/>
        </w:rPr>
        <w:t>Chiang, J., González, V., Reyes, Y.</w:t>
      </w:r>
      <w:r w:rsidR="00782902">
        <w:rPr>
          <w:rFonts w:ascii="Arial" w:hAnsi="Arial" w:cs="Arial"/>
          <w:iCs/>
          <w:color w:val="000000"/>
          <w:sz w:val="22"/>
          <w:szCs w:val="22"/>
        </w:rPr>
        <w:t>,</w:t>
      </w:r>
      <w:r w:rsidRPr="00C64518">
        <w:rPr>
          <w:rFonts w:ascii="Arial" w:hAnsi="Arial" w:cs="Arial"/>
          <w:sz w:val="22"/>
          <w:szCs w:val="22"/>
        </w:rPr>
        <w:t xml:space="preserve"> </w:t>
      </w:r>
      <w:r w:rsidRPr="00C64518">
        <w:rPr>
          <w:rFonts w:ascii="Arial" w:hAnsi="Arial" w:cs="Arial"/>
          <w:iCs/>
          <w:color w:val="000000"/>
          <w:sz w:val="22"/>
          <w:szCs w:val="22"/>
        </w:rPr>
        <w:t>Miño, J. (2018).</w:t>
      </w:r>
      <w:r w:rsidRPr="00C64518">
        <w:rPr>
          <w:rFonts w:ascii="Arial" w:hAnsi="Arial" w:cs="Arial"/>
          <w:i/>
          <w:iCs/>
          <w:color w:val="000000"/>
          <w:position w:val="8"/>
          <w:sz w:val="22"/>
          <w:szCs w:val="22"/>
          <w:vertAlign w:val="superscript"/>
        </w:rPr>
        <w:t xml:space="preserve"> </w:t>
      </w:r>
      <w:r w:rsidRPr="00C64518">
        <w:rPr>
          <w:rFonts w:ascii="Arial" w:hAnsi="Arial" w:cs="Arial"/>
          <w:bCs/>
          <w:iCs/>
          <w:color w:val="000000"/>
          <w:sz w:val="22"/>
          <w:szCs w:val="22"/>
        </w:rPr>
        <w:t xml:space="preserve">Influencia de las variedades de caña sobre la eficiencia industrial en la fábrica “14 de julio de Cienfuegos. </w:t>
      </w:r>
      <w:r w:rsidRPr="00C64518">
        <w:rPr>
          <w:rFonts w:ascii="Arial" w:hAnsi="Arial" w:cs="Arial"/>
          <w:bCs/>
          <w:i/>
          <w:iCs/>
          <w:color w:val="000000"/>
          <w:sz w:val="22"/>
          <w:szCs w:val="22"/>
        </w:rPr>
        <w:t>Centro Azúcar</w:t>
      </w:r>
      <w:r w:rsidRPr="00C64518">
        <w:rPr>
          <w:rFonts w:ascii="Arial" w:hAnsi="Arial" w:cs="Arial"/>
          <w:bCs/>
          <w:iCs/>
          <w:color w:val="000000"/>
          <w:sz w:val="22"/>
          <w:szCs w:val="22"/>
        </w:rPr>
        <w:t xml:space="preserve">, </w:t>
      </w:r>
      <w:r w:rsidRPr="00C64518">
        <w:rPr>
          <w:rFonts w:ascii="Arial" w:hAnsi="Arial" w:cs="Arial"/>
          <w:bCs/>
          <w:iCs/>
          <w:color w:val="000000" w:themeColor="text1"/>
          <w:sz w:val="22"/>
          <w:szCs w:val="22"/>
        </w:rPr>
        <w:t xml:space="preserve">45, 41-49. </w:t>
      </w:r>
      <w:hyperlink r:id="rId17" w:history="1">
        <w:r w:rsidRPr="00C64518">
          <w:rPr>
            <w:rStyle w:val="Hipervnculo"/>
            <w:rFonts w:ascii="Arial" w:hAnsi="Arial" w:cs="Arial"/>
            <w:sz w:val="22"/>
            <w:szCs w:val="22"/>
          </w:rPr>
          <w:t>http://centroazucar.uclv.edu.cu/index.php/centro_azucar/article/download/52/45/73</w:t>
        </w:r>
      </w:hyperlink>
    </w:p>
    <w:p w14:paraId="580D2111" w14:textId="77E64DC5" w:rsidR="00AD5A33" w:rsidRPr="00C64518" w:rsidRDefault="00AD5A33" w:rsidP="00EA3662">
      <w:pPr>
        <w:autoSpaceDE w:val="0"/>
        <w:autoSpaceDN w:val="0"/>
        <w:adjustRightInd w:val="0"/>
        <w:ind w:left="426" w:hanging="426"/>
        <w:rPr>
          <w:rFonts w:cs="Arial"/>
          <w:color w:val="000000" w:themeColor="text1"/>
          <w:sz w:val="22"/>
          <w:lang w:val="en-GB"/>
        </w:rPr>
      </w:pPr>
      <w:r w:rsidRPr="00C64518">
        <w:rPr>
          <w:rFonts w:cs="Arial"/>
          <w:color w:val="000000" w:themeColor="text1"/>
          <w:sz w:val="22"/>
        </w:rPr>
        <w:t xml:space="preserve">Delgadillo, O., Ramírez, P., </w:t>
      </w:r>
      <w:proofErr w:type="spellStart"/>
      <w:r w:rsidRPr="00C64518">
        <w:rPr>
          <w:rFonts w:cs="Arial"/>
          <w:color w:val="000000" w:themeColor="text1"/>
          <w:sz w:val="22"/>
        </w:rPr>
        <w:t>Leos</w:t>
      </w:r>
      <w:proofErr w:type="spellEnd"/>
      <w:r w:rsidRPr="00C64518">
        <w:rPr>
          <w:rFonts w:cs="Arial"/>
          <w:color w:val="000000" w:themeColor="text1"/>
          <w:sz w:val="22"/>
        </w:rPr>
        <w:t>, J., Salas, J.</w:t>
      </w:r>
      <w:r w:rsidR="00782902">
        <w:rPr>
          <w:rFonts w:cs="Arial"/>
          <w:color w:val="000000" w:themeColor="text1"/>
          <w:sz w:val="22"/>
        </w:rPr>
        <w:t>,</w:t>
      </w:r>
      <w:r w:rsidRPr="00C64518">
        <w:rPr>
          <w:rFonts w:cs="Arial"/>
          <w:color w:val="000000" w:themeColor="text1"/>
          <w:sz w:val="22"/>
        </w:rPr>
        <w:t xml:space="preserve"> Valdez, R. (2016). Pronósticos y series de tiempo de rendimientos de granos básicos en México. </w:t>
      </w:r>
      <w:proofErr w:type="spellStart"/>
      <w:r w:rsidRPr="00C64518">
        <w:rPr>
          <w:rFonts w:cs="Arial"/>
          <w:i/>
          <w:color w:val="000000" w:themeColor="text1"/>
          <w:sz w:val="22"/>
          <w:lang w:val="en-GB"/>
        </w:rPr>
        <w:t>Acta</w:t>
      </w:r>
      <w:proofErr w:type="spellEnd"/>
      <w:r w:rsidRPr="00C64518">
        <w:rPr>
          <w:rFonts w:cs="Arial"/>
          <w:i/>
          <w:color w:val="000000" w:themeColor="text1"/>
          <w:sz w:val="22"/>
          <w:lang w:val="en-GB"/>
        </w:rPr>
        <w:t xml:space="preserve"> </w:t>
      </w:r>
      <w:proofErr w:type="spellStart"/>
      <w:r w:rsidRPr="00C64518">
        <w:rPr>
          <w:rFonts w:cs="Arial"/>
          <w:i/>
          <w:color w:val="000000" w:themeColor="text1"/>
          <w:sz w:val="22"/>
          <w:lang w:val="en-GB"/>
        </w:rPr>
        <w:t>Universitaria</w:t>
      </w:r>
      <w:proofErr w:type="spellEnd"/>
      <w:r w:rsidRPr="00C64518">
        <w:rPr>
          <w:rFonts w:cs="Arial"/>
          <w:i/>
          <w:color w:val="000000" w:themeColor="text1"/>
          <w:sz w:val="22"/>
          <w:lang w:val="en-GB"/>
        </w:rPr>
        <w:t xml:space="preserve">, </w:t>
      </w:r>
      <w:r w:rsidRPr="00C64518">
        <w:rPr>
          <w:rFonts w:cs="Arial"/>
          <w:color w:val="000000" w:themeColor="text1"/>
          <w:sz w:val="22"/>
          <w:lang w:val="en-GB"/>
        </w:rPr>
        <w:t>26 (3). doi:10.15174/au.2016.882</w:t>
      </w:r>
    </w:p>
    <w:p w14:paraId="0ABA7AD8" w14:textId="02A3368C" w:rsidR="00AD5A33" w:rsidRPr="00C64518" w:rsidRDefault="00AD5A33" w:rsidP="00EA3662">
      <w:pPr>
        <w:ind w:left="425" w:hanging="425"/>
        <w:rPr>
          <w:rFonts w:cs="Arial"/>
          <w:sz w:val="22"/>
        </w:rPr>
      </w:pPr>
      <w:proofErr w:type="spellStart"/>
      <w:r w:rsidRPr="00C64518">
        <w:rPr>
          <w:rFonts w:cs="Arial"/>
          <w:sz w:val="22"/>
          <w:lang w:val="en-GB"/>
        </w:rPr>
        <w:t>Dietze</w:t>
      </w:r>
      <w:proofErr w:type="spellEnd"/>
      <w:r w:rsidRPr="00C64518">
        <w:rPr>
          <w:rFonts w:cs="Arial"/>
          <w:sz w:val="22"/>
          <w:lang w:val="en-GB"/>
        </w:rPr>
        <w:t xml:space="preserve">, M., Fox, A., Beck, L., Betancourt, B., </w:t>
      </w:r>
      <w:proofErr w:type="spellStart"/>
      <w:r w:rsidRPr="00C64518">
        <w:rPr>
          <w:rFonts w:cs="Arial"/>
          <w:sz w:val="22"/>
          <w:lang w:val="en-GB"/>
        </w:rPr>
        <w:t>Jarnevich</w:t>
      </w:r>
      <w:proofErr w:type="spellEnd"/>
      <w:r w:rsidRPr="00C64518">
        <w:rPr>
          <w:rFonts w:cs="Arial"/>
          <w:sz w:val="22"/>
          <w:lang w:val="en-GB"/>
        </w:rPr>
        <w:t xml:space="preserve">, S., </w:t>
      </w:r>
      <w:proofErr w:type="spellStart"/>
      <w:r w:rsidRPr="00C64518">
        <w:rPr>
          <w:rFonts w:cs="Arial"/>
          <w:sz w:val="22"/>
          <w:lang w:val="en-GB"/>
        </w:rPr>
        <w:t>Keitt</w:t>
      </w:r>
      <w:proofErr w:type="spellEnd"/>
      <w:r w:rsidRPr="00C64518">
        <w:rPr>
          <w:rFonts w:cs="Arial"/>
          <w:sz w:val="22"/>
          <w:lang w:val="en-GB"/>
        </w:rPr>
        <w:t xml:space="preserve">, H., Kenney, A., Laney, M., Larsen, G., </w:t>
      </w:r>
      <w:proofErr w:type="spellStart"/>
      <w:r w:rsidRPr="00C64518">
        <w:rPr>
          <w:rFonts w:cs="Arial"/>
          <w:sz w:val="22"/>
          <w:lang w:val="en-GB"/>
        </w:rPr>
        <w:t>Loescher</w:t>
      </w:r>
      <w:proofErr w:type="spellEnd"/>
      <w:r w:rsidRPr="00C64518">
        <w:rPr>
          <w:rFonts w:cs="Arial"/>
          <w:sz w:val="22"/>
          <w:lang w:val="en-GB"/>
        </w:rPr>
        <w:t xml:space="preserve">, W., Lunch, K., </w:t>
      </w:r>
      <w:proofErr w:type="spellStart"/>
      <w:r w:rsidRPr="00C64518">
        <w:rPr>
          <w:rFonts w:cs="Arial"/>
          <w:sz w:val="22"/>
          <w:lang w:val="en-GB"/>
        </w:rPr>
        <w:t>Pijanowski</w:t>
      </w:r>
      <w:proofErr w:type="spellEnd"/>
      <w:r w:rsidRPr="00C64518">
        <w:rPr>
          <w:rFonts w:cs="Arial"/>
          <w:sz w:val="22"/>
          <w:lang w:val="en-GB"/>
        </w:rPr>
        <w:t xml:space="preserve">, C., Randerson, T., Read, K., </w:t>
      </w:r>
      <w:proofErr w:type="spellStart"/>
      <w:r w:rsidRPr="00C64518">
        <w:rPr>
          <w:rFonts w:cs="Arial"/>
          <w:sz w:val="22"/>
          <w:lang w:val="en-GB"/>
        </w:rPr>
        <w:t>Tredennick</w:t>
      </w:r>
      <w:proofErr w:type="spellEnd"/>
      <w:r w:rsidRPr="00C64518">
        <w:rPr>
          <w:rFonts w:cs="Arial"/>
          <w:sz w:val="22"/>
          <w:lang w:val="en-GB"/>
        </w:rPr>
        <w:t>, T., Vargas, R., Weathers, C.</w:t>
      </w:r>
      <w:proofErr w:type="gramStart"/>
      <w:r w:rsidRPr="00C64518">
        <w:rPr>
          <w:rFonts w:cs="Arial"/>
          <w:sz w:val="22"/>
          <w:lang w:val="en-GB"/>
        </w:rPr>
        <w:t>,  White</w:t>
      </w:r>
      <w:proofErr w:type="gramEnd"/>
      <w:r w:rsidRPr="00C64518">
        <w:rPr>
          <w:rFonts w:cs="Arial"/>
          <w:sz w:val="22"/>
          <w:lang w:val="en-GB"/>
        </w:rPr>
        <w:t xml:space="preserve">, E. (2018). Iterative near-term ecological forecasting: Needs, opportunities, and challenges. </w:t>
      </w:r>
      <w:r w:rsidRPr="00C64518">
        <w:rPr>
          <w:rFonts w:cs="Arial"/>
          <w:i/>
          <w:sz w:val="22"/>
          <w:lang w:val="en-GB"/>
        </w:rPr>
        <w:t>Proceedings of the National Academy of Sciences</w:t>
      </w:r>
      <w:r w:rsidRPr="00C64518">
        <w:rPr>
          <w:rFonts w:cs="Arial"/>
          <w:sz w:val="22"/>
          <w:lang w:val="en-GB"/>
        </w:rPr>
        <w:t xml:space="preserve">. </w:t>
      </w:r>
      <w:r w:rsidRPr="00C64518">
        <w:rPr>
          <w:rFonts w:cs="Arial"/>
          <w:sz w:val="22"/>
        </w:rPr>
        <w:t xml:space="preserve">115 (7), 1424-1432. </w:t>
      </w:r>
      <w:proofErr w:type="spellStart"/>
      <w:r w:rsidRPr="00C64518">
        <w:rPr>
          <w:rFonts w:cs="Arial"/>
          <w:sz w:val="22"/>
        </w:rPr>
        <w:t>doi</w:t>
      </w:r>
      <w:proofErr w:type="spellEnd"/>
      <w:r w:rsidRPr="00C64518">
        <w:rPr>
          <w:rFonts w:cs="Arial"/>
          <w:sz w:val="22"/>
        </w:rPr>
        <w:t xml:space="preserve">: 10.1073/pnas.1710231115 </w:t>
      </w:r>
    </w:p>
    <w:p w14:paraId="2F077900" w14:textId="4D7752F6" w:rsidR="00AD5A33" w:rsidRPr="00AD5A33" w:rsidRDefault="00AD5A33" w:rsidP="00EA3662">
      <w:pPr>
        <w:ind w:left="425" w:hanging="425"/>
        <w:rPr>
          <w:rFonts w:cs="Arial"/>
          <w:sz w:val="22"/>
          <w:lang w:val="en-GB"/>
        </w:rPr>
      </w:pPr>
      <w:r w:rsidRPr="00C64518">
        <w:rPr>
          <w:rFonts w:cs="Arial"/>
          <w:sz w:val="22"/>
        </w:rPr>
        <w:t>García, Y., González, L.</w:t>
      </w:r>
      <w:r w:rsidR="00782902">
        <w:rPr>
          <w:rFonts w:cs="Arial"/>
          <w:sz w:val="22"/>
        </w:rPr>
        <w:t xml:space="preserve"> y</w:t>
      </w:r>
      <w:r w:rsidRPr="00C64518">
        <w:rPr>
          <w:rFonts w:cs="Arial"/>
          <w:sz w:val="22"/>
        </w:rPr>
        <w:t xml:space="preserve"> Cabrera, J. (2022). Aplicaciones de aprendizaje automático para el análisis industrial de la provisión azucarera en Matanzas, Cuba. </w:t>
      </w:r>
      <w:r w:rsidRPr="00C64518">
        <w:rPr>
          <w:rFonts w:cs="Arial"/>
          <w:i/>
          <w:sz w:val="22"/>
          <w:lang w:val="en-US"/>
        </w:rPr>
        <w:t xml:space="preserve">Rev. U.D.C.A Act. &amp; Div. </w:t>
      </w:r>
      <w:proofErr w:type="spellStart"/>
      <w:r w:rsidRPr="00C64518">
        <w:rPr>
          <w:rFonts w:cs="Arial"/>
          <w:i/>
          <w:sz w:val="22"/>
          <w:lang w:val="en-US"/>
        </w:rPr>
        <w:t>Cient</w:t>
      </w:r>
      <w:proofErr w:type="spellEnd"/>
      <w:r w:rsidRPr="00C64518">
        <w:rPr>
          <w:rFonts w:cs="Arial"/>
          <w:sz w:val="22"/>
          <w:lang w:val="en-US"/>
        </w:rPr>
        <w:t xml:space="preserve">. 25(2):e2334. </w:t>
      </w:r>
      <w:hyperlink r:id="rId18" w:history="1">
        <w:r w:rsidRPr="00AD5A33">
          <w:rPr>
            <w:rStyle w:val="Hipervnculo"/>
            <w:rFonts w:cs="Arial"/>
            <w:sz w:val="22"/>
            <w:lang w:val="en-GB"/>
          </w:rPr>
          <w:t>http://doi.org/10.31910/rudca.v25.n2.2022.2334</w:t>
        </w:r>
      </w:hyperlink>
      <w:r w:rsidRPr="00AD5A33">
        <w:rPr>
          <w:rFonts w:cs="Arial"/>
          <w:sz w:val="22"/>
          <w:lang w:val="en-GB"/>
        </w:rPr>
        <w:t xml:space="preserve"> </w:t>
      </w:r>
    </w:p>
    <w:p w14:paraId="4CB9C83F" w14:textId="5A4F39F2" w:rsidR="00AD5A33" w:rsidRPr="00C64518" w:rsidRDefault="00AD5A33" w:rsidP="00EA3662">
      <w:pPr>
        <w:ind w:left="425" w:hanging="425"/>
        <w:rPr>
          <w:rStyle w:val="Hipervnculo"/>
          <w:rFonts w:cs="Arial"/>
          <w:sz w:val="22"/>
        </w:rPr>
      </w:pPr>
      <w:r w:rsidRPr="00C64518">
        <w:rPr>
          <w:rFonts w:cs="Arial"/>
          <w:sz w:val="22"/>
        </w:rPr>
        <w:t xml:space="preserve">Granja, M. y Vidal, H. (2014). </w:t>
      </w:r>
      <w:r w:rsidRPr="00C64518">
        <w:rPr>
          <w:rFonts w:cs="Arial"/>
          <w:bCs/>
          <w:sz w:val="22"/>
        </w:rPr>
        <w:t xml:space="preserve">Pérdidas indeterminadas en la producción de azúcar.  </w:t>
      </w:r>
      <w:r w:rsidRPr="00C64518">
        <w:rPr>
          <w:rFonts w:cs="Arial"/>
          <w:sz w:val="22"/>
        </w:rPr>
        <w:t xml:space="preserve">Imbabura (Ecuador): Derechos Reservados de Autor.   </w:t>
      </w:r>
      <w:hyperlink r:id="rId19" w:history="1">
        <w:r w:rsidRPr="00C64518">
          <w:rPr>
            <w:rStyle w:val="Hipervnculo"/>
            <w:rFonts w:cs="Arial"/>
            <w:sz w:val="22"/>
          </w:rPr>
          <w:t>https://www.academia.edu/29924196/P%C3%89RDIDAS_INDETERMINADAS_EN_LA_PRODOUCCI%C3%93N_DE_AZ%C3%9ACAR</w:t>
        </w:r>
      </w:hyperlink>
    </w:p>
    <w:p w14:paraId="0E43EB29" w14:textId="688C6249" w:rsidR="00AD5A33" w:rsidRDefault="00AD5A33" w:rsidP="00EA3662">
      <w:pPr>
        <w:rPr>
          <w:rFonts w:cs="Arial"/>
          <w:bCs/>
          <w:sz w:val="22"/>
          <w:lang w:val="en-US"/>
        </w:rPr>
      </w:pPr>
      <w:proofErr w:type="spellStart"/>
      <w:r w:rsidRPr="00782902">
        <w:rPr>
          <w:rFonts w:cs="Arial"/>
          <w:bCs/>
          <w:sz w:val="22"/>
        </w:rPr>
        <w:t>Hammer</w:t>
      </w:r>
      <w:proofErr w:type="spellEnd"/>
      <w:r w:rsidRPr="00782902">
        <w:rPr>
          <w:rFonts w:cs="Arial"/>
          <w:bCs/>
          <w:sz w:val="22"/>
        </w:rPr>
        <w:t xml:space="preserve">, R., </w:t>
      </w:r>
      <w:proofErr w:type="spellStart"/>
      <w:r w:rsidRPr="00782902">
        <w:rPr>
          <w:rFonts w:cs="Arial"/>
          <w:bCs/>
          <w:sz w:val="22"/>
        </w:rPr>
        <w:t>Sentelhas</w:t>
      </w:r>
      <w:proofErr w:type="spellEnd"/>
      <w:r w:rsidRPr="00782902">
        <w:rPr>
          <w:rFonts w:cs="Arial"/>
          <w:bCs/>
          <w:sz w:val="22"/>
        </w:rPr>
        <w:t xml:space="preserve">, P., </w:t>
      </w:r>
      <w:r w:rsidR="00782902" w:rsidRPr="00782902">
        <w:rPr>
          <w:rFonts w:cs="Arial"/>
          <w:bCs/>
          <w:sz w:val="22"/>
        </w:rPr>
        <w:t>y</w:t>
      </w:r>
      <w:r w:rsidRPr="00782902">
        <w:rPr>
          <w:rFonts w:cs="Arial"/>
          <w:bCs/>
          <w:sz w:val="22"/>
        </w:rPr>
        <w:t xml:space="preserve"> Mariano, J. (2020). </w:t>
      </w:r>
      <w:r w:rsidRPr="00782902">
        <w:rPr>
          <w:rFonts w:cs="Arial"/>
          <w:bCs/>
          <w:sz w:val="22"/>
          <w:lang w:val="en-US"/>
        </w:rPr>
        <w:t xml:space="preserve">Sugarcane yield prediction through data </w:t>
      </w:r>
      <w:r w:rsidR="00782902">
        <w:rPr>
          <w:rFonts w:cs="Arial"/>
          <w:bCs/>
          <w:sz w:val="22"/>
          <w:lang w:val="en-US"/>
        </w:rPr>
        <w:t xml:space="preserve">  </w:t>
      </w:r>
    </w:p>
    <w:p w14:paraId="56926975" w14:textId="7A67408B" w:rsidR="00782902" w:rsidRDefault="00782902" w:rsidP="00EA3662">
      <w:pPr>
        <w:rPr>
          <w:rFonts w:cs="Arial"/>
          <w:bCs/>
          <w:sz w:val="22"/>
          <w:lang w:val="en-US"/>
        </w:rPr>
      </w:pPr>
      <w:r>
        <w:rPr>
          <w:rFonts w:cs="Arial"/>
          <w:bCs/>
          <w:sz w:val="22"/>
          <w:lang w:val="en-US"/>
        </w:rPr>
        <w:t xml:space="preserve">        </w:t>
      </w:r>
      <w:r w:rsidRPr="00782902">
        <w:rPr>
          <w:rFonts w:cs="Arial"/>
          <w:bCs/>
          <w:sz w:val="22"/>
          <w:lang w:val="en-US"/>
        </w:rPr>
        <w:t>mining and crop simulation models.</w:t>
      </w:r>
      <w:r w:rsidRPr="00782902">
        <w:rPr>
          <w:rFonts w:cs="Arial"/>
          <w:sz w:val="22"/>
          <w:lang w:val="en-US"/>
        </w:rPr>
        <w:t xml:space="preserve"> </w:t>
      </w:r>
      <w:r w:rsidRPr="00782902">
        <w:rPr>
          <w:rFonts w:cs="Arial"/>
          <w:i/>
          <w:sz w:val="22"/>
          <w:lang w:val="en-US"/>
        </w:rPr>
        <w:t>Sugar Tech</w:t>
      </w:r>
      <w:r w:rsidRPr="00782902">
        <w:rPr>
          <w:rFonts w:cs="Arial"/>
          <w:bCs/>
          <w:i/>
          <w:sz w:val="22"/>
          <w:lang w:val="en-US"/>
        </w:rPr>
        <w:t>,</w:t>
      </w:r>
      <w:r w:rsidRPr="00782902">
        <w:rPr>
          <w:rFonts w:cs="Arial"/>
          <w:bCs/>
          <w:sz w:val="22"/>
          <w:lang w:val="en-US"/>
        </w:rPr>
        <w:t xml:space="preserve"> 22, 216-225.   </w:t>
      </w:r>
      <w:r>
        <w:rPr>
          <w:rFonts w:cs="Arial"/>
          <w:bCs/>
          <w:sz w:val="22"/>
          <w:lang w:val="en-US"/>
        </w:rPr>
        <w:t xml:space="preserve"> </w:t>
      </w:r>
    </w:p>
    <w:p w14:paraId="12743A9B" w14:textId="1F14E8A7" w:rsidR="00782902" w:rsidRPr="00782902" w:rsidRDefault="00782902" w:rsidP="00EA3662">
      <w:pPr>
        <w:rPr>
          <w:rStyle w:val="Hipervnculo"/>
          <w:rFonts w:cs="Arial"/>
          <w:color w:val="auto"/>
          <w:sz w:val="22"/>
          <w:u w:val="none"/>
          <w:lang w:val="en-US"/>
        </w:rPr>
      </w:pPr>
      <w:r>
        <w:rPr>
          <w:rFonts w:cs="Arial"/>
          <w:bCs/>
          <w:sz w:val="22"/>
          <w:lang w:val="en-US"/>
        </w:rPr>
        <w:t xml:space="preserve">        </w:t>
      </w:r>
      <w:hyperlink r:id="rId20" w:history="1">
        <w:r w:rsidRPr="00782902">
          <w:rPr>
            <w:rStyle w:val="Hipervnculo"/>
            <w:rFonts w:cs="Arial"/>
            <w:bCs/>
            <w:sz w:val="22"/>
            <w:lang w:val="en-US"/>
          </w:rPr>
          <w:t>https://doi.org/10.1007/s12355-019-00776-z</w:t>
        </w:r>
      </w:hyperlink>
      <w:r>
        <w:rPr>
          <w:rStyle w:val="Hipervnculo"/>
          <w:rFonts w:cs="Arial"/>
          <w:bCs/>
          <w:sz w:val="22"/>
          <w:lang w:val="en-US"/>
        </w:rPr>
        <w:t xml:space="preserve"> </w:t>
      </w:r>
    </w:p>
    <w:p w14:paraId="5EA1484D" w14:textId="5A318660" w:rsidR="00AD5A33" w:rsidRPr="00C64518" w:rsidRDefault="00AD5A33" w:rsidP="00EA3662">
      <w:pPr>
        <w:ind w:left="426" w:hanging="426"/>
        <w:rPr>
          <w:rFonts w:cs="Arial"/>
          <w:sz w:val="22"/>
          <w:lang w:val="en-US"/>
        </w:rPr>
      </w:pPr>
      <w:r w:rsidRPr="00C64518">
        <w:rPr>
          <w:rFonts w:cs="Arial"/>
          <w:sz w:val="22"/>
          <w:lang w:val="en-US"/>
        </w:rPr>
        <w:t>James, G., Witten, D., Hastie, T.</w:t>
      </w:r>
      <w:proofErr w:type="gramStart"/>
      <w:r w:rsidRPr="00C64518">
        <w:rPr>
          <w:rFonts w:cs="Arial"/>
          <w:sz w:val="22"/>
          <w:lang w:val="en-US"/>
        </w:rPr>
        <w:t xml:space="preserve">,  </w:t>
      </w:r>
      <w:proofErr w:type="spellStart"/>
      <w:r w:rsidRPr="00C64518">
        <w:rPr>
          <w:rFonts w:cs="Arial"/>
          <w:sz w:val="22"/>
          <w:lang w:val="en-US"/>
        </w:rPr>
        <w:t>Tibshirani</w:t>
      </w:r>
      <w:proofErr w:type="spellEnd"/>
      <w:proofErr w:type="gramEnd"/>
      <w:r w:rsidRPr="00C64518">
        <w:rPr>
          <w:rFonts w:cs="Arial"/>
          <w:sz w:val="22"/>
          <w:lang w:val="en-US"/>
        </w:rPr>
        <w:t xml:space="preserve">, R. (2021). </w:t>
      </w:r>
      <w:r w:rsidRPr="00C64518">
        <w:rPr>
          <w:rFonts w:cs="Arial"/>
          <w:i/>
          <w:sz w:val="22"/>
          <w:lang w:val="en-US"/>
        </w:rPr>
        <w:t>An Introduction to Statistical with Applications in R</w:t>
      </w:r>
      <w:r w:rsidRPr="00C64518">
        <w:rPr>
          <w:rFonts w:cs="Arial"/>
          <w:sz w:val="22"/>
          <w:lang w:val="en-US"/>
        </w:rPr>
        <w:t xml:space="preserve">. Second Edition. New York (USA): Springer. </w:t>
      </w:r>
      <w:hyperlink r:id="rId21" w:history="1">
        <w:r w:rsidR="00782902" w:rsidRPr="0078442A">
          <w:rPr>
            <w:rStyle w:val="Hipervnculo"/>
            <w:rFonts w:cs="Arial"/>
            <w:sz w:val="22"/>
            <w:lang w:val="en-GB"/>
          </w:rPr>
          <w:t>https://doi.org/10.1007/978-1-0716-1418-1</w:t>
        </w:r>
      </w:hyperlink>
      <w:r w:rsidRPr="00C64518">
        <w:rPr>
          <w:rFonts w:cs="Arial"/>
          <w:color w:val="0000FF"/>
          <w:sz w:val="22"/>
          <w:lang w:val="en-GB"/>
        </w:rPr>
        <w:t xml:space="preserve"> </w:t>
      </w:r>
    </w:p>
    <w:p w14:paraId="6C5FABF4" w14:textId="70D944CE" w:rsidR="00AD5A33" w:rsidRPr="00C64518" w:rsidRDefault="00AD5A33" w:rsidP="00EA3662">
      <w:pPr>
        <w:ind w:left="426" w:hanging="426"/>
        <w:rPr>
          <w:rStyle w:val="Hipervnculo"/>
          <w:rFonts w:cs="Arial"/>
          <w:sz w:val="22"/>
          <w:lang w:val="en-US"/>
        </w:rPr>
      </w:pPr>
      <w:r w:rsidRPr="00C64518">
        <w:rPr>
          <w:rFonts w:cs="Arial"/>
          <w:sz w:val="22"/>
          <w:lang w:val="en-GB"/>
        </w:rPr>
        <w:t>Kumar, A.V., Kumar, P.G., Hari, K.S.P., Kumar, V.D., Kumar, S.D.</w:t>
      </w:r>
      <w:proofErr w:type="gramStart"/>
      <w:r w:rsidRPr="00C64518">
        <w:rPr>
          <w:rFonts w:cs="Arial"/>
          <w:sz w:val="22"/>
          <w:lang w:val="en-GB"/>
        </w:rPr>
        <w:t>,  Kumar</w:t>
      </w:r>
      <w:proofErr w:type="gramEnd"/>
      <w:r w:rsidRPr="00C64518">
        <w:rPr>
          <w:rFonts w:cs="Arial"/>
          <w:sz w:val="22"/>
          <w:lang w:val="en-GB"/>
        </w:rPr>
        <w:t xml:space="preserve">, A. (2021). Sugarcane Yield Forecasting Model Based on Weather Parameters. </w:t>
      </w:r>
      <w:r w:rsidRPr="00C64518">
        <w:rPr>
          <w:rFonts w:cs="Arial"/>
          <w:i/>
          <w:sz w:val="22"/>
          <w:lang w:val="en-US"/>
        </w:rPr>
        <w:t>Sugar Tech</w:t>
      </w:r>
      <w:r w:rsidRPr="00C64518">
        <w:rPr>
          <w:rFonts w:cs="Arial"/>
          <w:sz w:val="22"/>
          <w:lang w:val="en-GB"/>
        </w:rPr>
        <w:t xml:space="preserve">, 23, 158-166. </w:t>
      </w:r>
      <w:hyperlink r:id="rId22" w:history="1">
        <w:r w:rsidRPr="00C64518">
          <w:rPr>
            <w:rStyle w:val="Hipervnculo"/>
            <w:rFonts w:cs="Arial"/>
            <w:sz w:val="22"/>
            <w:lang w:val="en-US"/>
          </w:rPr>
          <w:t>https://doi.org/10.1007/s12355-020-00900-4</w:t>
        </w:r>
      </w:hyperlink>
    </w:p>
    <w:p w14:paraId="2D54A4C1" w14:textId="431DFF55" w:rsidR="00AD5A33" w:rsidRPr="00C64518" w:rsidRDefault="00AD5A33" w:rsidP="00EA3662">
      <w:pPr>
        <w:ind w:left="426" w:hanging="426"/>
        <w:rPr>
          <w:rFonts w:cs="Arial"/>
          <w:sz w:val="22"/>
          <w:lang w:val="en-GB" w:eastAsia="es-ES"/>
        </w:rPr>
      </w:pPr>
      <w:proofErr w:type="spellStart"/>
      <w:r w:rsidRPr="009A6EA4">
        <w:rPr>
          <w:rFonts w:cs="Arial"/>
          <w:sz w:val="22"/>
          <w:lang w:val="en-US" w:eastAsia="es-ES"/>
        </w:rPr>
        <w:lastRenderedPageBreak/>
        <w:t>Kustiyo</w:t>
      </w:r>
      <w:proofErr w:type="spellEnd"/>
      <w:r w:rsidRPr="009A6EA4">
        <w:rPr>
          <w:rFonts w:cs="Arial"/>
          <w:sz w:val="22"/>
          <w:lang w:val="en-US" w:eastAsia="es-ES"/>
        </w:rPr>
        <w:t xml:space="preserve">, A., </w:t>
      </w:r>
      <w:r w:rsidR="00457515" w:rsidRPr="009A6EA4">
        <w:rPr>
          <w:rFonts w:cs="Arial"/>
          <w:sz w:val="22"/>
          <w:lang w:val="en-US" w:eastAsia="es-ES"/>
        </w:rPr>
        <w:t>y</w:t>
      </w:r>
      <w:r w:rsidRPr="009A6EA4">
        <w:rPr>
          <w:rFonts w:cs="Arial"/>
          <w:sz w:val="22"/>
          <w:lang w:val="en-US" w:eastAsia="es-ES"/>
        </w:rPr>
        <w:t xml:space="preserve"> </w:t>
      </w:r>
      <w:proofErr w:type="spellStart"/>
      <w:r w:rsidRPr="009A6EA4">
        <w:rPr>
          <w:rFonts w:cs="Arial"/>
          <w:sz w:val="22"/>
          <w:lang w:val="en-US" w:eastAsia="es-ES"/>
        </w:rPr>
        <w:t>Arkeman</w:t>
      </w:r>
      <w:proofErr w:type="spellEnd"/>
      <w:r w:rsidRPr="009A6EA4">
        <w:rPr>
          <w:rFonts w:cs="Arial"/>
          <w:sz w:val="22"/>
          <w:lang w:val="en-US" w:eastAsia="es-ES"/>
        </w:rPr>
        <w:t xml:space="preserve">, Y. (2019). </w:t>
      </w:r>
      <w:r w:rsidRPr="00C64518">
        <w:rPr>
          <w:rFonts w:cs="Arial"/>
          <w:sz w:val="22"/>
          <w:lang w:val="en-US" w:eastAsia="es-ES"/>
        </w:rPr>
        <w:t xml:space="preserve">Design for improvement of sugar factory performance based on statistical thinking. </w:t>
      </w:r>
      <w:r w:rsidRPr="00C64518">
        <w:rPr>
          <w:rFonts w:cs="Arial"/>
          <w:i/>
          <w:sz w:val="22"/>
          <w:lang w:val="en-GB" w:eastAsia="es-ES"/>
        </w:rPr>
        <w:t>Earth and Environmental Science</w:t>
      </w:r>
      <w:r w:rsidRPr="00C64518">
        <w:rPr>
          <w:rFonts w:cs="Arial"/>
          <w:sz w:val="22"/>
          <w:lang w:val="en-GB" w:eastAsia="es-ES"/>
        </w:rPr>
        <w:t xml:space="preserve">, 335, 012033, 1-10. doi:10.1088/1755-1315/335/1/012033. </w:t>
      </w:r>
    </w:p>
    <w:p w14:paraId="2341565C" w14:textId="77777777" w:rsidR="00AD5A33" w:rsidRPr="00C64518" w:rsidRDefault="00AD5A33" w:rsidP="00EA3662">
      <w:pPr>
        <w:ind w:left="426" w:hanging="426"/>
        <w:rPr>
          <w:rStyle w:val="gnkrckgcgsb"/>
          <w:rFonts w:cs="Arial"/>
          <w:sz w:val="22"/>
        </w:rPr>
      </w:pPr>
      <w:r w:rsidRPr="00C64518">
        <w:rPr>
          <w:rStyle w:val="gnkrckgcgsb"/>
          <w:rFonts w:cs="Arial"/>
          <w:sz w:val="22"/>
          <w:lang w:val="en-US"/>
        </w:rPr>
        <w:t xml:space="preserve">Lee, J. (2020). </w:t>
      </w:r>
      <w:r w:rsidRPr="00C64518">
        <w:rPr>
          <w:rStyle w:val="gnkrckgcgsb"/>
          <w:rFonts w:cs="Arial"/>
          <w:i/>
          <w:sz w:val="22"/>
          <w:lang w:val="en-US"/>
        </w:rPr>
        <w:t>Industrial AI: Applications with Sustainable Performance</w:t>
      </w:r>
      <w:r w:rsidRPr="00C64518">
        <w:rPr>
          <w:rStyle w:val="gnkrckgcgsb"/>
          <w:rFonts w:cs="Arial"/>
          <w:sz w:val="22"/>
          <w:lang w:val="en-US"/>
        </w:rPr>
        <w:t xml:space="preserve">. </w:t>
      </w:r>
      <w:proofErr w:type="spellStart"/>
      <w:r w:rsidRPr="00C64518">
        <w:rPr>
          <w:rStyle w:val="gnkrckgcgsb"/>
          <w:rFonts w:cs="Arial"/>
          <w:sz w:val="22"/>
        </w:rPr>
        <w:t>Singapore</w:t>
      </w:r>
      <w:proofErr w:type="spellEnd"/>
      <w:r w:rsidRPr="00C64518">
        <w:rPr>
          <w:rStyle w:val="gnkrckgcgsb"/>
          <w:rFonts w:cs="Arial"/>
          <w:sz w:val="22"/>
        </w:rPr>
        <w:t xml:space="preserve">: </w:t>
      </w:r>
      <w:proofErr w:type="spellStart"/>
      <w:r w:rsidRPr="00C64518">
        <w:rPr>
          <w:rStyle w:val="gnkrckgcgsb"/>
          <w:rFonts w:cs="Arial"/>
          <w:sz w:val="22"/>
        </w:rPr>
        <w:t>Springer</w:t>
      </w:r>
      <w:proofErr w:type="spellEnd"/>
      <w:r w:rsidRPr="00C64518">
        <w:rPr>
          <w:rStyle w:val="gnkrckgcgsb"/>
          <w:rFonts w:cs="Arial"/>
          <w:sz w:val="22"/>
        </w:rPr>
        <w:t xml:space="preserve">. </w:t>
      </w:r>
      <w:hyperlink r:id="rId23" w:history="1">
        <w:r w:rsidRPr="00C64518">
          <w:rPr>
            <w:rStyle w:val="Hipervnculo"/>
            <w:rFonts w:cs="Arial"/>
            <w:sz w:val="22"/>
          </w:rPr>
          <w:t>https://doi.org/10.1007/978-981-15-2144-7</w:t>
        </w:r>
      </w:hyperlink>
      <w:r w:rsidRPr="00C64518">
        <w:rPr>
          <w:rStyle w:val="gnkrckgcgsb"/>
          <w:rFonts w:cs="Arial"/>
          <w:sz w:val="22"/>
        </w:rPr>
        <w:t xml:space="preserve"> </w:t>
      </w:r>
    </w:p>
    <w:p w14:paraId="1C9ABD86" w14:textId="1D2A4953" w:rsidR="00AD5A33" w:rsidRPr="00C64518" w:rsidRDefault="00AD5A33" w:rsidP="00EA3662">
      <w:pPr>
        <w:autoSpaceDE w:val="0"/>
        <w:autoSpaceDN w:val="0"/>
        <w:adjustRightInd w:val="0"/>
        <w:ind w:left="426" w:hanging="426"/>
        <w:jc w:val="left"/>
        <w:rPr>
          <w:rFonts w:cs="Arial"/>
          <w:color w:val="FF0000"/>
          <w:sz w:val="22"/>
        </w:rPr>
      </w:pPr>
      <w:r w:rsidRPr="00C64518">
        <w:rPr>
          <w:rFonts w:cs="Arial"/>
          <w:sz w:val="22"/>
        </w:rPr>
        <w:t xml:space="preserve">Martínez, C. y De </w:t>
      </w:r>
      <w:proofErr w:type="spellStart"/>
      <w:r w:rsidRPr="00C64518">
        <w:rPr>
          <w:rFonts w:cs="Arial"/>
          <w:sz w:val="22"/>
        </w:rPr>
        <w:t>Leon</w:t>
      </w:r>
      <w:proofErr w:type="spellEnd"/>
      <w:r w:rsidRPr="00C64518">
        <w:rPr>
          <w:rFonts w:cs="Arial"/>
          <w:sz w:val="22"/>
        </w:rPr>
        <w:t xml:space="preserve">, J. (2012). Influencia de la calidad de la materia prima en el proceso tecnológico, calidad del producto final, y el rendimiento industrial en una fábrica de azúcar. </w:t>
      </w:r>
      <w:r w:rsidRPr="00C64518">
        <w:rPr>
          <w:rFonts w:cs="Arial"/>
          <w:bCs/>
          <w:i/>
          <w:iCs/>
          <w:sz w:val="22"/>
        </w:rPr>
        <w:t xml:space="preserve">Centro Azúcar, </w:t>
      </w:r>
      <w:r w:rsidRPr="00C64518">
        <w:rPr>
          <w:rFonts w:cs="Arial"/>
          <w:bCs/>
          <w:iCs/>
          <w:sz w:val="22"/>
        </w:rPr>
        <w:t xml:space="preserve">39(3), 28-34. </w:t>
      </w:r>
      <w:hyperlink r:id="rId24" w:history="1">
        <w:r w:rsidRPr="00C64518">
          <w:rPr>
            <w:rStyle w:val="Hipervnculo"/>
            <w:rFonts w:cs="Arial"/>
            <w:sz w:val="22"/>
          </w:rPr>
          <w:t>http://centroazucar.uclv.edu.cu/index.php/centro_azucar/article/download/344/336/373</w:t>
        </w:r>
      </w:hyperlink>
    </w:p>
    <w:p w14:paraId="776576B2" w14:textId="77777777" w:rsidR="00AD5A33" w:rsidRPr="00C64518" w:rsidRDefault="00AD5A33" w:rsidP="00EA3662">
      <w:pPr>
        <w:ind w:left="426" w:hanging="426"/>
        <w:jc w:val="left"/>
        <w:rPr>
          <w:rFonts w:cs="Arial"/>
          <w:sz w:val="22"/>
        </w:rPr>
      </w:pPr>
      <w:r w:rsidRPr="00C64518">
        <w:rPr>
          <w:rFonts w:cs="Arial"/>
          <w:sz w:val="22"/>
          <w:lang w:val="en-GB"/>
        </w:rPr>
        <w:t xml:space="preserve">McDonald, J. (2014). </w:t>
      </w:r>
      <w:r w:rsidRPr="00C64518">
        <w:rPr>
          <w:rFonts w:cs="Arial"/>
          <w:i/>
          <w:sz w:val="22"/>
          <w:lang w:val="en-GB"/>
        </w:rPr>
        <w:t>Handbook of biological statistics</w:t>
      </w:r>
      <w:r w:rsidRPr="00C64518">
        <w:rPr>
          <w:rFonts w:cs="Arial"/>
          <w:sz w:val="22"/>
          <w:lang w:val="en-GB"/>
        </w:rPr>
        <w:t xml:space="preserve">. Third edition. Maryland (USA): Sparky House Publishing. </w:t>
      </w:r>
      <w:hyperlink r:id="rId25" w:history="1">
        <w:r w:rsidRPr="00C64518">
          <w:rPr>
            <w:rStyle w:val="Hipervnculo"/>
            <w:rFonts w:cs="Arial"/>
            <w:sz w:val="22"/>
          </w:rPr>
          <w:t>https://www.researchgate.net/publication/267210763_The_Provision_of_Forest_Ecosystem_Services_-What_Science_Can_Tell_Us_5_2014_Volume_I_Quantifying_and_valuing_non-marketed_ecosystem_services_and_Volume_II_Assessing_cost_of_provision_and_designing_eco/download</w:t>
        </w:r>
      </w:hyperlink>
    </w:p>
    <w:p w14:paraId="0A8793A3" w14:textId="77777777" w:rsidR="00AD5A33" w:rsidRPr="00C64518" w:rsidRDefault="00AD5A33" w:rsidP="00EA3662">
      <w:pPr>
        <w:ind w:left="426" w:hanging="426"/>
        <w:jc w:val="left"/>
        <w:rPr>
          <w:rFonts w:cs="Arial"/>
          <w:sz w:val="22"/>
          <w:lang w:val="en-GB"/>
        </w:rPr>
      </w:pPr>
      <w:r w:rsidRPr="00C64518">
        <w:rPr>
          <w:rFonts w:cs="Arial"/>
          <w:sz w:val="22"/>
        </w:rPr>
        <w:t xml:space="preserve">Müller, A. y </w:t>
      </w:r>
      <w:proofErr w:type="spellStart"/>
      <w:r w:rsidRPr="00C64518">
        <w:rPr>
          <w:rFonts w:cs="Arial"/>
          <w:sz w:val="22"/>
        </w:rPr>
        <w:t>Sukhdev</w:t>
      </w:r>
      <w:proofErr w:type="spellEnd"/>
      <w:r w:rsidRPr="00C64518">
        <w:rPr>
          <w:rFonts w:cs="Arial"/>
          <w:sz w:val="22"/>
        </w:rPr>
        <w:t xml:space="preserve">, P. (2018). Midiendo lo que importa en la agricultura y los sistemas alimentarios: síntesis de los resultados y recomendaciones del Informe sobre los Fundamentos Científicos y Económicos de la iniciativa TEEB para la Agricultura y la Alimentación. </w:t>
      </w:r>
      <w:proofErr w:type="spellStart"/>
      <w:r w:rsidRPr="00C64518">
        <w:rPr>
          <w:rFonts w:cs="Arial"/>
          <w:sz w:val="22"/>
          <w:lang w:val="en-GB"/>
        </w:rPr>
        <w:t>Ginebra</w:t>
      </w:r>
      <w:proofErr w:type="spellEnd"/>
      <w:r w:rsidRPr="00C64518">
        <w:rPr>
          <w:rFonts w:cs="Arial"/>
          <w:sz w:val="22"/>
          <w:lang w:val="en-GB"/>
        </w:rPr>
        <w:t xml:space="preserve"> (</w:t>
      </w:r>
      <w:proofErr w:type="spellStart"/>
      <w:r w:rsidRPr="00C64518">
        <w:rPr>
          <w:rFonts w:cs="Arial"/>
          <w:sz w:val="22"/>
          <w:lang w:val="en-GB"/>
        </w:rPr>
        <w:t>Suiza</w:t>
      </w:r>
      <w:proofErr w:type="spellEnd"/>
      <w:r w:rsidRPr="00C64518">
        <w:rPr>
          <w:rFonts w:cs="Arial"/>
          <w:sz w:val="22"/>
          <w:lang w:val="en-GB"/>
        </w:rPr>
        <w:t xml:space="preserve">): </w:t>
      </w:r>
      <w:proofErr w:type="spellStart"/>
      <w:r w:rsidRPr="00C64518">
        <w:rPr>
          <w:rFonts w:cs="Arial"/>
          <w:sz w:val="22"/>
          <w:lang w:val="en-GB"/>
        </w:rPr>
        <w:t>TEEBAgriFood</w:t>
      </w:r>
      <w:proofErr w:type="spellEnd"/>
      <w:r w:rsidRPr="00C64518">
        <w:rPr>
          <w:rFonts w:cs="Arial"/>
          <w:sz w:val="22"/>
          <w:lang w:val="en-GB"/>
        </w:rPr>
        <w:t xml:space="preserve">. </w:t>
      </w:r>
      <w:hyperlink r:id="rId26" w:history="1">
        <w:r w:rsidRPr="00C64518">
          <w:rPr>
            <w:rStyle w:val="Hipervnculo"/>
            <w:rFonts w:cs="Arial"/>
            <w:sz w:val="22"/>
            <w:lang w:val="en-GB"/>
          </w:rPr>
          <w:t>http://digital.csic.es/bitstream/10261/156293/1/Maranon_Mat_org_octubre2017.pdf</w:t>
        </w:r>
      </w:hyperlink>
    </w:p>
    <w:p w14:paraId="0E378931" w14:textId="43E6B49C" w:rsidR="00AD5A33" w:rsidRPr="00C64518" w:rsidRDefault="00AD5A33" w:rsidP="00EA3662">
      <w:pPr>
        <w:ind w:left="426" w:hanging="426"/>
        <w:rPr>
          <w:rFonts w:cs="Arial"/>
          <w:sz w:val="22"/>
          <w:lang w:val="en-US"/>
        </w:rPr>
      </w:pPr>
      <w:proofErr w:type="spellStart"/>
      <w:r w:rsidRPr="00C64518">
        <w:rPr>
          <w:rFonts w:cs="Arial"/>
          <w:sz w:val="22"/>
          <w:lang w:val="en-US"/>
        </w:rPr>
        <w:t>Nashiruddin</w:t>
      </w:r>
      <w:proofErr w:type="spellEnd"/>
      <w:r w:rsidRPr="00C64518">
        <w:rPr>
          <w:rFonts w:cs="Arial"/>
          <w:sz w:val="22"/>
          <w:lang w:val="en-US"/>
        </w:rPr>
        <w:t xml:space="preserve">, I., </w:t>
      </w:r>
      <w:proofErr w:type="spellStart"/>
      <w:r w:rsidRPr="00C64518">
        <w:rPr>
          <w:rFonts w:cs="Arial"/>
          <w:sz w:val="22"/>
          <w:lang w:val="en-US"/>
        </w:rPr>
        <w:t>Fadziyana</w:t>
      </w:r>
      <w:proofErr w:type="spellEnd"/>
      <w:r w:rsidRPr="00C64518">
        <w:rPr>
          <w:rFonts w:cs="Arial"/>
          <w:sz w:val="22"/>
          <w:lang w:val="en-US"/>
        </w:rPr>
        <w:t>, A., Rahman, A., Ilias, M.</w:t>
      </w:r>
      <w:proofErr w:type="gramStart"/>
      <w:r w:rsidRPr="00C64518">
        <w:rPr>
          <w:rFonts w:cs="Arial"/>
          <w:sz w:val="22"/>
          <w:lang w:val="en-US"/>
        </w:rPr>
        <w:t>,  Wan</w:t>
      </w:r>
      <w:proofErr w:type="gramEnd"/>
      <w:r w:rsidRPr="00C64518">
        <w:rPr>
          <w:rFonts w:cs="Arial"/>
          <w:sz w:val="22"/>
          <w:lang w:val="en-US"/>
        </w:rPr>
        <w:t xml:space="preserve">, H. (2020). Process parameter optimization of pretreated pineapple leaves fiber for enhancement of sugar recovery. </w:t>
      </w:r>
      <w:r w:rsidRPr="00C64518">
        <w:rPr>
          <w:rFonts w:cs="Arial"/>
          <w:i/>
          <w:sz w:val="22"/>
          <w:lang w:val="en-US"/>
        </w:rPr>
        <w:t>Industrial Crops and Products</w:t>
      </w:r>
      <w:r w:rsidRPr="00C64518">
        <w:rPr>
          <w:rFonts w:cs="Arial"/>
          <w:sz w:val="22"/>
          <w:lang w:val="en-US"/>
        </w:rPr>
        <w:t xml:space="preserve">, 152, 112514. </w:t>
      </w:r>
      <w:hyperlink r:id="rId27" w:history="1">
        <w:r w:rsidRPr="00C64518">
          <w:rPr>
            <w:rStyle w:val="Hipervnculo"/>
            <w:rFonts w:cs="Arial"/>
            <w:sz w:val="22"/>
            <w:lang w:val="en-US"/>
          </w:rPr>
          <w:t>https://doi.org/10.1016/j.indcrop.2020.112514</w:t>
        </w:r>
      </w:hyperlink>
      <w:r w:rsidRPr="00C64518">
        <w:rPr>
          <w:rFonts w:cs="Arial"/>
          <w:sz w:val="22"/>
          <w:lang w:val="en-US"/>
        </w:rPr>
        <w:t xml:space="preserve"> </w:t>
      </w:r>
    </w:p>
    <w:p w14:paraId="0396E064" w14:textId="78E6DC59" w:rsidR="00AD5A33" w:rsidRPr="00C64518" w:rsidRDefault="00AD5A33" w:rsidP="00EA3662">
      <w:pPr>
        <w:ind w:left="426" w:hanging="426"/>
        <w:rPr>
          <w:rFonts w:cs="Arial"/>
          <w:sz w:val="22"/>
          <w:lang w:val="en-US"/>
        </w:rPr>
      </w:pPr>
      <w:r w:rsidRPr="000E65C6">
        <w:rPr>
          <w:rFonts w:cs="Arial"/>
          <w:sz w:val="22"/>
        </w:rPr>
        <w:t xml:space="preserve">Natarajan, R., Subramanian, J., </w:t>
      </w:r>
      <w:r w:rsidR="00457515" w:rsidRPr="000E65C6">
        <w:rPr>
          <w:rFonts w:cs="Arial"/>
          <w:sz w:val="22"/>
        </w:rPr>
        <w:t xml:space="preserve">y </w:t>
      </w:r>
      <w:r w:rsidRPr="000E65C6">
        <w:rPr>
          <w:rFonts w:cs="Arial"/>
          <w:sz w:val="22"/>
        </w:rPr>
        <w:t xml:space="preserve"> Papageorgiou, E. (2016). </w:t>
      </w:r>
      <w:r w:rsidRPr="00C64518">
        <w:rPr>
          <w:rFonts w:cs="Arial"/>
          <w:sz w:val="22"/>
          <w:lang w:val="en-US"/>
        </w:rPr>
        <w:t xml:space="preserve">Hybrid learning of fuzzy cognitive maps for sugarcane yield classification. </w:t>
      </w:r>
      <w:r w:rsidRPr="00C64518">
        <w:rPr>
          <w:rFonts w:cs="Arial"/>
          <w:i/>
          <w:sz w:val="22"/>
          <w:lang w:val="en-US"/>
        </w:rPr>
        <w:t>Computers and Electronics in Agriculture</w:t>
      </w:r>
      <w:r w:rsidRPr="00C64518">
        <w:rPr>
          <w:rFonts w:cs="Arial"/>
          <w:sz w:val="22"/>
          <w:lang w:val="en-US"/>
        </w:rPr>
        <w:t xml:space="preserve">, 127, 147–157. </w:t>
      </w:r>
      <w:hyperlink r:id="rId28" w:history="1">
        <w:r w:rsidRPr="00C64518">
          <w:rPr>
            <w:rStyle w:val="Hipervnculo"/>
            <w:rFonts w:cs="Arial"/>
            <w:sz w:val="22"/>
            <w:lang w:val="en-US"/>
          </w:rPr>
          <w:t>http://dx.doi.org/10.1016/j.compag.2016.05.016</w:t>
        </w:r>
      </w:hyperlink>
      <w:r w:rsidRPr="00C64518">
        <w:rPr>
          <w:rFonts w:cs="Arial"/>
          <w:sz w:val="22"/>
          <w:lang w:val="en-US"/>
        </w:rPr>
        <w:t xml:space="preserve"> </w:t>
      </w:r>
    </w:p>
    <w:p w14:paraId="4E2B09A9" w14:textId="77777777" w:rsidR="00AD5A33" w:rsidRPr="00C64518" w:rsidRDefault="00AD5A33" w:rsidP="00EA3662">
      <w:pPr>
        <w:pStyle w:val="Textocomentario"/>
        <w:spacing w:line="360" w:lineRule="auto"/>
        <w:ind w:left="426" w:hanging="426"/>
        <w:rPr>
          <w:rFonts w:ascii="Arial" w:hAnsi="Arial" w:cs="Arial"/>
          <w:bCs/>
          <w:i/>
          <w:iCs/>
          <w:color w:val="0000FF"/>
          <w:sz w:val="22"/>
          <w:szCs w:val="22"/>
        </w:rPr>
      </w:pPr>
      <w:r w:rsidRPr="00C64518">
        <w:rPr>
          <w:rFonts w:ascii="Arial" w:hAnsi="Arial" w:cs="Arial"/>
          <w:iCs/>
          <w:sz w:val="22"/>
          <w:szCs w:val="22"/>
        </w:rPr>
        <w:t xml:space="preserve">Navarro, H. y </w:t>
      </w:r>
      <w:proofErr w:type="spellStart"/>
      <w:r w:rsidRPr="00C64518">
        <w:rPr>
          <w:rFonts w:ascii="Arial" w:hAnsi="Arial" w:cs="Arial"/>
          <w:iCs/>
          <w:sz w:val="22"/>
          <w:szCs w:val="22"/>
        </w:rPr>
        <w:t>Rostgaard</w:t>
      </w:r>
      <w:proofErr w:type="spellEnd"/>
      <w:r w:rsidRPr="00C64518">
        <w:rPr>
          <w:rFonts w:ascii="Arial" w:hAnsi="Arial" w:cs="Arial"/>
          <w:iCs/>
          <w:sz w:val="22"/>
          <w:szCs w:val="22"/>
        </w:rPr>
        <w:t xml:space="preserve">, L. (2014). </w:t>
      </w:r>
      <w:r w:rsidRPr="00C64518">
        <w:rPr>
          <w:rFonts w:ascii="Arial" w:hAnsi="Arial" w:cs="Arial"/>
          <w:bCs/>
          <w:iCs/>
          <w:sz w:val="22"/>
          <w:szCs w:val="22"/>
        </w:rPr>
        <w:t>Impacto de la materia extraña en la calidad de los jugos de caña y en los indicadores de eficiencia de un central azucarero.</w:t>
      </w:r>
      <w:r w:rsidRPr="00C64518">
        <w:rPr>
          <w:rFonts w:ascii="Arial" w:hAnsi="Arial" w:cs="Arial"/>
          <w:bCs/>
          <w:i/>
          <w:iCs/>
          <w:sz w:val="22"/>
          <w:szCs w:val="22"/>
        </w:rPr>
        <w:t xml:space="preserve"> Centro Azúcar, 41. </w:t>
      </w:r>
      <w:hyperlink r:id="rId29" w:history="1">
        <w:r w:rsidRPr="00C64518">
          <w:rPr>
            <w:rStyle w:val="Hipervnculo"/>
            <w:rFonts w:ascii="Arial" w:hAnsi="Arial" w:cs="Arial"/>
            <w:sz w:val="22"/>
            <w:szCs w:val="22"/>
          </w:rPr>
          <w:t>http://centroazucar.uclv.edu.cu/index.php/centro_azucar/article/download/245/236/272</w:t>
        </w:r>
      </w:hyperlink>
    </w:p>
    <w:p w14:paraId="641E6E1C" w14:textId="77777777" w:rsidR="00AD5A33" w:rsidRPr="00C64518" w:rsidRDefault="00AD5A33" w:rsidP="00EA3662">
      <w:pPr>
        <w:ind w:left="426" w:hanging="426"/>
        <w:rPr>
          <w:rFonts w:cs="Arial"/>
          <w:sz w:val="22"/>
          <w:lang w:val="en-GB"/>
        </w:rPr>
      </w:pPr>
      <w:r w:rsidRPr="00C64518">
        <w:rPr>
          <w:rFonts w:cs="Arial"/>
          <w:sz w:val="22"/>
          <w:lang w:val="en-US"/>
        </w:rPr>
        <w:t xml:space="preserve">R Core Team (2019). R: A language and environment for statistical computing. </w:t>
      </w:r>
      <w:r w:rsidRPr="00C64518">
        <w:rPr>
          <w:rFonts w:cs="Arial"/>
          <w:sz w:val="22"/>
          <w:lang w:val="en-GB"/>
        </w:rPr>
        <w:t xml:space="preserve">R Foundation for Statistical Computing. Vienna, (Austria). </w:t>
      </w:r>
      <w:hyperlink r:id="rId30" w:history="1">
        <w:r w:rsidRPr="00C64518">
          <w:rPr>
            <w:rStyle w:val="Hipervnculo"/>
            <w:rFonts w:cs="Arial"/>
            <w:sz w:val="22"/>
            <w:lang w:val="en-GB"/>
          </w:rPr>
          <w:t>https://www.R-project.org/</w:t>
        </w:r>
      </w:hyperlink>
      <w:r w:rsidRPr="00C64518">
        <w:rPr>
          <w:rFonts w:cs="Arial"/>
          <w:sz w:val="22"/>
          <w:lang w:val="en-GB"/>
        </w:rPr>
        <w:t xml:space="preserve"> </w:t>
      </w:r>
    </w:p>
    <w:p w14:paraId="7E732094" w14:textId="4280E3AA" w:rsidR="00AD5A33" w:rsidRPr="00C64518" w:rsidRDefault="00AD5A33" w:rsidP="00EA3662">
      <w:pPr>
        <w:ind w:left="426" w:hanging="426"/>
        <w:rPr>
          <w:rFonts w:cs="Arial"/>
          <w:sz w:val="22"/>
          <w:lang w:val="en-US"/>
        </w:rPr>
      </w:pPr>
      <w:r w:rsidRPr="00782902">
        <w:rPr>
          <w:rFonts w:cs="Arial"/>
          <w:sz w:val="22"/>
        </w:rPr>
        <w:lastRenderedPageBreak/>
        <w:t>Rahman,</w:t>
      </w:r>
      <w:r w:rsidR="00782902" w:rsidRPr="00782902">
        <w:rPr>
          <w:rFonts w:cs="Arial"/>
          <w:sz w:val="22"/>
        </w:rPr>
        <w:t xml:space="preserve"> </w:t>
      </w:r>
      <w:r w:rsidRPr="00782902">
        <w:rPr>
          <w:rFonts w:cs="Arial"/>
          <w:sz w:val="22"/>
        </w:rPr>
        <w:t xml:space="preserve">M., </w:t>
      </w:r>
      <w:r w:rsidR="00782902" w:rsidRPr="00782902">
        <w:rPr>
          <w:rFonts w:cs="Arial"/>
          <w:sz w:val="22"/>
        </w:rPr>
        <w:t>y</w:t>
      </w:r>
      <w:r w:rsidRPr="00782902">
        <w:rPr>
          <w:rFonts w:cs="Arial"/>
          <w:sz w:val="22"/>
        </w:rPr>
        <w:t xml:space="preserve"> Robson, A. (2016). </w:t>
      </w:r>
      <w:r w:rsidRPr="00C64518">
        <w:rPr>
          <w:rFonts w:cs="Arial"/>
          <w:sz w:val="22"/>
          <w:lang w:val="en-US"/>
        </w:rPr>
        <w:t xml:space="preserve">A Novel Approach for Sugarcane Yield Prediction Using Landsat Time Series Imagery: A Case Study on Bundaberg Region. </w:t>
      </w:r>
      <w:r w:rsidRPr="00C64518">
        <w:rPr>
          <w:rFonts w:cs="Arial"/>
          <w:i/>
          <w:sz w:val="22"/>
          <w:lang w:val="en-US"/>
        </w:rPr>
        <w:t>Advances in Remote Sensing</w:t>
      </w:r>
      <w:r w:rsidRPr="00C64518">
        <w:rPr>
          <w:rFonts w:cs="Arial"/>
          <w:sz w:val="22"/>
          <w:lang w:val="en-US"/>
        </w:rPr>
        <w:t xml:space="preserve">, 5, 93-102. </w:t>
      </w:r>
      <w:hyperlink r:id="rId31" w:history="1">
        <w:r w:rsidRPr="00C64518">
          <w:rPr>
            <w:rStyle w:val="Hipervnculo"/>
            <w:rFonts w:cs="Arial"/>
            <w:sz w:val="22"/>
            <w:lang w:val="en-US"/>
          </w:rPr>
          <w:t>http://dx.doi.org/10.4236/ars.2016.52008</w:t>
        </w:r>
      </w:hyperlink>
      <w:r w:rsidRPr="00C64518">
        <w:rPr>
          <w:rFonts w:cs="Arial"/>
          <w:sz w:val="22"/>
          <w:lang w:val="en-US"/>
        </w:rPr>
        <w:t xml:space="preserve"> </w:t>
      </w:r>
    </w:p>
    <w:p w14:paraId="21B5CA00" w14:textId="45232D67" w:rsidR="00AD5A33" w:rsidRPr="00AD5A33" w:rsidRDefault="00AD5A33" w:rsidP="00EA3662">
      <w:pPr>
        <w:ind w:left="426" w:hanging="426"/>
        <w:rPr>
          <w:rFonts w:cs="Arial"/>
          <w:sz w:val="22"/>
        </w:rPr>
      </w:pPr>
      <w:proofErr w:type="spellStart"/>
      <w:r w:rsidRPr="009A6EA4">
        <w:rPr>
          <w:rFonts w:cs="Arial"/>
          <w:sz w:val="22"/>
          <w:lang w:val="en-US"/>
        </w:rPr>
        <w:t>Ramasubramanian</w:t>
      </w:r>
      <w:proofErr w:type="spellEnd"/>
      <w:r w:rsidRPr="009A6EA4">
        <w:rPr>
          <w:rFonts w:cs="Arial"/>
          <w:sz w:val="22"/>
          <w:lang w:val="en-US"/>
        </w:rPr>
        <w:t xml:space="preserve">, K., </w:t>
      </w:r>
      <w:r w:rsidR="00782902" w:rsidRPr="009A6EA4">
        <w:rPr>
          <w:rFonts w:cs="Arial"/>
          <w:sz w:val="22"/>
          <w:lang w:val="en-US"/>
        </w:rPr>
        <w:t xml:space="preserve">y </w:t>
      </w:r>
      <w:r w:rsidRPr="009A6EA4">
        <w:rPr>
          <w:rFonts w:cs="Arial"/>
          <w:sz w:val="22"/>
          <w:lang w:val="en-US"/>
        </w:rPr>
        <w:t xml:space="preserve">Singh, A. (2019). </w:t>
      </w:r>
      <w:r w:rsidRPr="00C64518">
        <w:rPr>
          <w:rFonts w:cs="Arial"/>
          <w:i/>
          <w:sz w:val="22"/>
          <w:lang w:val="en-US"/>
        </w:rPr>
        <w:t>Machine Learning Using R: With Time Series and Industry-Based Use Cases in R</w:t>
      </w:r>
      <w:r w:rsidRPr="00C64518">
        <w:rPr>
          <w:rFonts w:cs="Arial"/>
          <w:sz w:val="22"/>
          <w:lang w:val="en-US"/>
        </w:rPr>
        <w:t xml:space="preserve">. Second Edition. </w:t>
      </w:r>
      <w:r w:rsidRPr="00AD5A33">
        <w:rPr>
          <w:rFonts w:cs="Arial"/>
          <w:sz w:val="22"/>
        </w:rPr>
        <w:t xml:space="preserve">New York (USA): Springer. </w:t>
      </w:r>
      <w:hyperlink r:id="rId32" w:history="1">
        <w:r w:rsidRPr="00AD5A33">
          <w:rPr>
            <w:rStyle w:val="Hipervnculo"/>
            <w:rFonts w:cs="Arial"/>
            <w:sz w:val="22"/>
          </w:rPr>
          <w:t>https://doi.org/10.1007/978-1-4842-4215-5</w:t>
        </w:r>
      </w:hyperlink>
      <w:r w:rsidRPr="00AD5A33">
        <w:rPr>
          <w:rFonts w:cs="Arial"/>
          <w:sz w:val="22"/>
        </w:rPr>
        <w:t xml:space="preserve"> </w:t>
      </w:r>
    </w:p>
    <w:p w14:paraId="56131BC5" w14:textId="77777777" w:rsidR="00AD5A33" w:rsidRPr="00C64518" w:rsidRDefault="00AD5A33" w:rsidP="00EA3662">
      <w:pPr>
        <w:ind w:left="426" w:hanging="426"/>
        <w:rPr>
          <w:rFonts w:cs="Arial"/>
          <w:sz w:val="22"/>
        </w:rPr>
      </w:pPr>
      <w:r w:rsidRPr="00C64518">
        <w:rPr>
          <w:rFonts w:cs="Arial"/>
          <w:sz w:val="22"/>
        </w:rPr>
        <w:t xml:space="preserve">Ribas, M., Consuegra, R. y Alfonso, M. (2016). Análisis de los factores que más inciden sobre el rendimiento industrial azucarero. </w:t>
      </w:r>
      <w:r w:rsidRPr="00C64518">
        <w:rPr>
          <w:rFonts w:cs="Arial"/>
          <w:i/>
          <w:sz w:val="22"/>
        </w:rPr>
        <w:t>Centro Azúcar</w:t>
      </w:r>
      <w:r w:rsidRPr="00C64518">
        <w:rPr>
          <w:rFonts w:cs="Arial"/>
          <w:sz w:val="22"/>
        </w:rPr>
        <w:t xml:space="preserve">, </w:t>
      </w:r>
      <w:r w:rsidRPr="00C64518">
        <w:rPr>
          <w:rFonts w:cs="Arial"/>
          <w:bCs/>
          <w:iCs/>
          <w:sz w:val="22"/>
        </w:rPr>
        <w:t>43, 51-60.</w:t>
      </w:r>
      <w:r w:rsidRPr="00C64518">
        <w:rPr>
          <w:rFonts w:cs="Arial"/>
          <w:b/>
          <w:bCs/>
          <w:iCs/>
          <w:color w:val="0000FF"/>
          <w:sz w:val="22"/>
        </w:rPr>
        <w:t xml:space="preserve"> </w:t>
      </w:r>
      <w:hyperlink r:id="rId33" w:history="1">
        <w:r w:rsidRPr="00C64518">
          <w:rPr>
            <w:rStyle w:val="Hipervnculo"/>
            <w:rFonts w:cs="Arial"/>
            <w:sz w:val="22"/>
          </w:rPr>
          <w:t>http://scielo.sld.cu/pdf/caz/v43n1/caz06116.pdf</w:t>
        </w:r>
      </w:hyperlink>
      <w:r w:rsidRPr="00C64518">
        <w:rPr>
          <w:rFonts w:cs="Arial"/>
          <w:color w:val="FF0000"/>
          <w:sz w:val="22"/>
        </w:rPr>
        <w:t xml:space="preserve"> </w:t>
      </w:r>
    </w:p>
    <w:p w14:paraId="361D3021" w14:textId="614D993C" w:rsidR="00AD5A33" w:rsidRPr="00C64518" w:rsidRDefault="00AD5A33" w:rsidP="00EA3662">
      <w:pPr>
        <w:autoSpaceDE w:val="0"/>
        <w:autoSpaceDN w:val="0"/>
        <w:adjustRightInd w:val="0"/>
        <w:ind w:left="426" w:hanging="426"/>
        <w:rPr>
          <w:rFonts w:cs="Arial"/>
          <w:color w:val="FF0000"/>
          <w:sz w:val="22"/>
        </w:rPr>
      </w:pPr>
      <w:r w:rsidRPr="00C64518">
        <w:rPr>
          <w:rFonts w:cs="Arial"/>
          <w:bCs/>
          <w:iCs/>
          <w:sz w:val="22"/>
        </w:rPr>
        <w:t xml:space="preserve">Rico, O., </w:t>
      </w:r>
      <w:r w:rsidRPr="00C64518">
        <w:rPr>
          <w:rFonts w:cs="Arial"/>
          <w:sz w:val="22"/>
        </w:rPr>
        <w:t>Peñalver, Y., Leiva, J.</w:t>
      </w:r>
      <w:r w:rsidR="00782902">
        <w:rPr>
          <w:rFonts w:cs="Arial"/>
          <w:sz w:val="22"/>
        </w:rPr>
        <w:t>,</w:t>
      </w:r>
      <w:r w:rsidRPr="00C64518">
        <w:rPr>
          <w:rFonts w:cs="Arial"/>
          <w:sz w:val="22"/>
        </w:rPr>
        <w:t xml:space="preserve"> González, V. (</w:t>
      </w:r>
      <w:r w:rsidRPr="00C64518">
        <w:rPr>
          <w:rFonts w:cs="Arial"/>
          <w:bCs/>
          <w:iCs/>
          <w:sz w:val="22"/>
        </w:rPr>
        <w:t xml:space="preserve">2013). </w:t>
      </w:r>
      <w:r w:rsidRPr="00C64518">
        <w:rPr>
          <w:rFonts w:cs="Arial"/>
          <w:bCs/>
          <w:sz w:val="22"/>
        </w:rPr>
        <w:t>Efecto del tiro directo de la caña en el rendimiento y la eficiencia energética</w:t>
      </w:r>
      <w:r w:rsidRPr="00C64518">
        <w:rPr>
          <w:rFonts w:cs="Arial"/>
          <w:bCs/>
          <w:i/>
          <w:sz w:val="22"/>
        </w:rPr>
        <w:t xml:space="preserve">. </w:t>
      </w:r>
      <w:r w:rsidRPr="00C64518">
        <w:rPr>
          <w:rFonts w:cs="Arial"/>
          <w:i/>
          <w:sz w:val="22"/>
        </w:rPr>
        <w:t>Centro Azúcar</w:t>
      </w:r>
      <w:r w:rsidRPr="00C64518">
        <w:rPr>
          <w:rFonts w:cs="Arial"/>
          <w:sz w:val="22"/>
        </w:rPr>
        <w:t xml:space="preserve">, </w:t>
      </w:r>
      <w:r w:rsidRPr="00C64518">
        <w:rPr>
          <w:rFonts w:cs="Arial"/>
          <w:bCs/>
          <w:iCs/>
          <w:color w:val="000000" w:themeColor="text1"/>
          <w:sz w:val="22"/>
        </w:rPr>
        <w:t xml:space="preserve">40, 77-82. </w:t>
      </w:r>
      <w:hyperlink r:id="rId34" w:history="1">
        <w:r w:rsidRPr="00C64518">
          <w:rPr>
            <w:rStyle w:val="Hipervnculo"/>
            <w:rFonts w:cs="Arial"/>
            <w:sz w:val="22"/>
          </w:rPr>
          <w:t>http://centroazucar.uclv.edu.cu/index.php/centro_azucar/article/download/320/312/349</w:t>
        </w:r>
      </w:hyperlink>
      <w:r w:rsidRPr="00C64518">
        <w:rPr>
          <w:rStyle w:val="Hipervnculo"/>
          <w:rFonts w:cs="Arial"/>
          <w:sz w:val="22"/>
        </w:rPr>
        <w:t xml:space="preserve">. </w:t>
      </w:r>
    </w:p>
    <w:p w14:paraId="18CC3A7B" w14:textId="23866A67" w:rsidR="00AD5A33" w:rsidRPr="00C64518" w:rsidRDefault="00AD5A33" w:rsidP="00EA3662">
      <w:pPr>
        <w:pStyle w:val="Textocomentario"/>
        <w:spacing w:line="360" w:lineRule="auto"/>
        <w:ind w:left="426" w:hanging="426"/>
        <w:rPr>
          <w:rFonts w:ascii="Arial" w:hAnsi="Arial" w:cs="Arial"/>
          <w:sz w:val="22"/>
          <w:szCs w:val="22"/>
          <w:lang w:val="en-GB"/>
        </w:rPr>
      </w:pPr>
      <w:r w:rsidRPr="00C64518">
        <w:rPr>
          <w:rFonts w:ascii="Arial" w:hAnsi="Arial" w:cs="Arial"/>
          <w:sz w:val="22"/>
          <w:szCs w:val="22"/>
          <w:lang w:val="en-GB"/>
        </w:rPr>
        <w:t xml:space="preserve">Shahzad, S., Shokat, S., </w:t>
      </w:r>
      <w:proofErr w:type="spellStart"/>
      <w:r w:rsidRPr="00C64518">
        <w:rPr>
          <w:rFonts w:ascii="Arial" w:hAnsi="Arial" w:cs="Arial"/>
          <w:sz w:val="22"/>
          <w:szCs w:val="22"/>
          <w:lang w:val="en-GB"/>
        </w:rPr>
        <w:t>Fiaz</w:t>
      </w:r>
      <w:proofErr w:type="spellEnd"/>
      <w:r w:rsidRPr="00C64518">
        <w:rPr>
          <w:rFonts w:ascii="Arial" w:hAnsi="Arial" w:cs="Arial"/>
          <w:sz w:val="22"/>
          <w:szCs w:val="22"/>
          <w:lang w:val="en-GB"/>
        </w:rPr>
        <w:t>, N.</w:t>
      </w:r>
      <w:proofErr w:type="gramStart"/>
      <w:r w:rsidRPr="00C64518">
        <w:rPr>
          <w:rFonts w:ascii="Arial" w:hAnsi="Arial" w:cs="Arial"/>
          <w:sz w:val="22"/>
          <w:szCs w:val="22"/>
          <w:lang w:val="en-GB"/>
        </w:rPr>
        <w:t>,  Hameed</w:t>
      </w:r>
      <w:proofErr w:type="gramEnd"/>
      <w:r w:rsidRPr="00C64518">
        <w:rPr>
          <w:rFonts w:ascii="Arial" w:hAnsi="Arial" w:cs="Arial"/>
          <w:sz w:val="22"/>
          <w:szCs w:val="22"/>
          <w:lang w:val="en-GB"/>
        </w:rPr>
        <w:t xml:space="preserve">, A. (2017). Impact of Yield and Quality-Related Traits of Sugarcane on Sugar Recovery. </w:t>
      </w:r>
      <w:r w:rsidRPr="00C64518">
        <w:rPr>
          <w:rFonts w:ascii="Arial" w:hAnsi="Arial" w:cs="Arial"/>
          <w:i/>
          <w:sz w:val="22"/>
          <w:szCs w:val="22"/>
          <w:lang w:val="en-GB"/>
        </w:rPr>
        <w:t>J. Crop Sci. Biotech</w:t>
      </w:r>
      <w:r w:rsidRPr="00C64518">
        <w:rPr>
          <w:rFonts w:ascii="Arial" w:hAnsi="Arial" w:cs="Arial"/>
          <w:sz w:val="22"/>
          <w:szCs w:val="22"/>
          <w:lang w:val="en-GB"/>
        </w:rPr>
        <w:t xml:space="preserve">, 20 (1), 1 – 7. </w:t>
      </w:r>
      <w:proofErr w:type="spellStart"/>
      <w:r w:rsidRPr="00C64518">
        <w:rPr>
          <w:rFonts w:ascii="Arial" w:hAnsi="Arial" w:cs="Arial"/>
          <w:sz w:val="22"/>
          <w:szCs w:val="22"/>
          <w:lang w:val="en-GB"/>
        </w:rPr>
        <w:t>doi</w:t>
      </w:r>
      <w:proofErr w:type="spellEnd"/>
      <w:r w:rsidRPr="00C64518">
        <w:rPr>
          <w:rFonts w:ascii="Arial" w:hAnsi="Arial" w:cs="Arial"/>
          <w:sz w:val="22"/>
          <w:szCs w:val="22"/>
          <w:lang w:val="en-GB"/>
        </w:rPr>
        <w:t>: No. 10.1007/s12892-016-0048-2</w:t>
      </w:r>
    </w:p>
    <w:p w14:paraId="6DEC4803" w14:textId="1A720715" w:rsidR="00AD5A33" w:rsidRPr="00C64518" w:rsidRDefault="00AD5A33" w:rsidP="00EA3662">
      <w:pPr>
        <w:ind w:left="426" w:hanging="426"/>
        <w:rPr>
          <w:rFonts w:cs="Arial"/>
          <w:sz w:val="22"/>
          <w:lang w:val="en-GB"/>
        </w:rPr>
      </w:pPr>
      <w:r w:rsidRPr="000E65C6">
        <w:rPr>
          <w:rFonts w:cs="Arial"/>
          <w:sz w:val="22"/>
        </w:rPr>
        <w:t xml:space="preserve">Tarafdar, A., Kaur, B., Nema, P., Babar, O.,  Kumar, D. (2020). </w:t>
      </w:r>
      <w:r w:rsidRPr="00C64518">
        <w:rPr>
          <w:rFonts w:cs="Arial"/>
          <w:sz w:val="22"/>
          <w:lang w:val="en-GB"/>
        </w:rPr>
        <w:t xml:space="preserve">Using </w:t>
      </w:r>
      <w:r w:rsidRPr="00C64518">
        <w:rPr>
          <w:rFonts w:cs="Arial"/>
          <w:sz w:val="22"/>
          <w:lang w:val="en-US"/>
        </w:rPr>
        <w:t xml:space="preserve">a combined neural network ─ genetic algorithm approach for predicting the complex rheological characteristics of </w:t>
      </w:r>
      <w:proofErr w:type="spellStart"/>
      <w:r w:rsidRPr="00C64518">
        <w:rPr>
          <w:rFonts w:cs="Arial"/>
          <w:sz w:val="22"/>
          <w:lang w:val="en-US"/>
        </w:rPr>
        <w:t>microfluidized</w:t>
      </w:r>
      <w:proofErr w:type="spellEnd"/>
      <w:r w:rsidRPr="00C64518">
        <w:rPr>
          <w:rFonts w:cs="Arial"/>
          <w:sz w:val="22"/>
          <w:lang w:val="en-US"/>
        </w:rPr>
        <w:t xml:space="preserve"> sugarcane juice. </w:t>
      </w:r>
      <w:r w:rsidRPr="00C64518">
        <w:rPr>
          <w:rFonts w:cs="Arial"/>
          <w:i/>
          <w:iCs/>
          <w:sz w:val="22"/>
          <w:lang w:val="en-US"/>
        </w:rPr>
        <w:t xml:space="preserve">Food Science and Technology, </w:t>
      </w:r>
      <w:r w:rsidRPr="00C64518">
        <w:rPr>
          <w:rFonts w:cs="Arial"/>
          <w:iCs/>
          <w:sz w:val="22"/>
          <w:lang w:val="en-US"/>
        </w:rPr>
        <w:t>123, 109058</w:t>
      </w:r>
      <w:r w:rsidRPr="00C64518">
        <w:rPr>
          <w:rFonts w:cs="Arial"/>
          <w:i/>
          <w:iCs/>
          <w:sz w:val="22"/>
          <w:lang w:val="en-GB"/>
        </w:rPr>
        <w:t xml:space="preserve">. </w:t>
      </w:r>
      <w:hyperlink r:id="rId35" w:history="1">
        <w:r w:rsidRPr="00C64518">
          <w:rPr>
            <w:rStyle w:val="Hipervnculo"/>
            <w:rFonts w:cs="Arial"/>
            <w:sz w:val="22"/>
            <w:lang w:val="en-GB"/>
          </w:rPr>
          <w:t>https://doi.org/10.1016/j.lwt.2020.109058</w:t>
        </w:r>
      </w:hyperlink>
      <w:r w:rsidRPr="00C64518">
        <w:rPr>
          <w:rFonts w:cs="Arial"/>
          <w:sz w:val="22"/>
          <w:lang w:val="en-GB"/>
        </w:rPr>
        <w:t xml:space="preserve"> </w:t>
      </w:r>
    </w:p>
    <w:p w14:paraId="1C93984C" w14:textId="40306F3D" w:rsidR="00AD5A33" w:rsidRPr="00C64518" w:rsidRDefault="00AD5A33" w:rsidP="00EA3662">
      <w:pPr>
        <w:ind w:left="426" w:hanging="426"/>
        <w:rPr>
          <w:rFonts w:cs="Arial"/>
          <w:iCs/>
          <w:sz w:val="22"/>
          <w:lang w:val="en-US"/>
        </w:rPr>
      </w:pPr>
      <w:r w:rsidRPr="00782902">
        <w:rPr>
          <w:rFonts w:cs="Arial"/>
          <w:iCs/>
          <w:sz w:val="22"/>
          <w:lang w:val="en-GB"/>
        </w:rPr>
        <w:t xml:space="preserve">Willcock, S., Martínez, J., </w:t>
      </w:r>
      <w:proofErr w:type="spellStart"/>
      <w:r w:rsidRPr="00782902">
        <w:rPr>
          <w:rFonts w:cs="Arial"/>
          <w:iCs/>
          <w:sz w:val="22"/>
          <w:lang w:val="en-GB"/>
        </w:rPr>
        <w:t>Hooftman</w:t>
      </w:r>
      <w:proofErr w:type="spellEnd"/>
      <w:r w:rsidRPr="00782902">
        <w:rPr>
          <w:rFonts w:cs="Arial"/>
          <w:iCs/>
          <w:sz w:val="22"/>
          <w:lang w:val="en-GB"/>
        </w:rPr>
        <w:t xml:space="preserve">, D., </w:t>
      </w:r>
      <w:proofErr w:type="spellStart"/>
      <w:r w:rsidRPr="00782902">
        <w:rPr>
          <w:rFonts w:cs="Arial"/>
          <w:iCs/>
          <w:sz w:val="22"/>
          <w:lang w:val="en-GB"/>
        </w:rPr>
        <w:t>Bagstad</w:t>
      </w:r>
      <w:proofErr w:type="spellEnd"/>
      <w:r w:rsidRPr="00782902">
        <w:rPr>
          <w:rFonts w:cs="Arial"/>
          <w:iCs/>
          <w:sz w:val="22"/>
          <w:lang w:val="en-GB"/>
        </w:rPr>
        <w:t xml:space="preserve">, K., </w:t>
      </w:r>
      <w:proofErr w:type="spellStart"/>
      <w:r w:rsidRPr="00782902">
        <w:rPr>
          <w:rFonts w:cs="Arial"/>
          <w:iCs/>
          <w:sz w:val="22"/>
          <w:lang w:val="en-GB"/>
        </w:rPr>
        <w:t>Balbi</w:t>
      </w:r>
      <w:proofErr w:type="spellEnd"/>
      <w:r w:rsidRPr="00782902">
        <w:rPr>
          <w:rFonts w:cs="Arial"/>
          <w:iCs/>
          <w:sz w:val="22"/>
          <w:lang w:val="en-GB"/>
        </w:rPr>
        <w:t xml:space="preserve">, S., Marzo, A., Prato, C., </w:t>
      </w:r>
      <w:proofErr w:type="spellStart"/>
      <w:r w:rsidRPr="00782902">
        <w:rPr>
          <w:rFonts w:cs="Arial"/>
          <w:iCs/>
          <w:sz w:val="22"/>
          <w:lang w:val="en-GB"/>
        </w:rPr>
        <w:t>Sciandrello</w:t>
      </w:r>
      <w:proofErr w:type="spellEnd"/>
      <w:r w:rsidRPr="00782902">
        <w:rPr>
          <w:rFonts w:cs="Arial"/>
          <w:iCs/>
          <w:sz w:val="22"/>
          <w:lang w:val="en-GB"/>
        </w:rPr>
        <w:t xml:space="preserve">, S., </w:t>
      </w:r>
      <w:proofErr w:type="spellStart"/>
      <w:r w:rsidRPr="00782902">
        <w:rPr>
          <w:rFonts w:cs="Arial"/>
          <w:iCs/>
          <w:sz w:val="22"/>
          <w:lang w:val="en-GB"/>
        </w:rPr>
        <w:t>Signorello</w:t>
      </w:r>
      <w:proofErr w:type="spellEnd"/>
      <w:r w:rsidRPr="00782902">
        <w:rPr>
          <w:rFonts w:cs="Arial"/>
          <w:iCs/>
          <w:sz w:val="22"/>
          <w:lang w:val="en-GB"/>
        </w:rPr>
        <w:t>, G., Voigt, B., Villa, F., Bullock, J.</w:t>
      </w:r>
      <w:proofErr w:type="gramStart"/>
      <w:r w:rsidRPr="00782902">
        <w:rPr>
          <w:rFonts w:cs="Arial"/>
          <w:iCs/>
          <w:sz w:val="22"/>
          <w:lang w:val="en-GB"/>
        </w:rPr>
        <w:t xml:space="preserve">,  </w:t>
      </w:r>
      <w:proofErr w:type="spellStart"/>
      <w:r w:rsidRPr="00782902">
        <w:rPr>
          <w:rFonts w:cs="Arial"/>
          <w:iCs/>
          <w:sz w:val="22"/>
          <w:lang w:val="en-GB"/>
        </w:rPr>
        <w:t>Athanasiadis</w:t>
      </w:r>
      <w:proofErr w:type="spellEnd"/>
      <w:proofErr w:type="gramEnd"/>
      <w:r w:rsidRPr="00782902">
        <w:rPr>
          <w:rFonts w:cs="Arial"/>
          <w:iCs/>
          <w:sz w:val="22"/>
          <w:lang w:val="en-GB"/>
        </w:rPr>
        <w:t xml:space="preserve">, I. (2018). </w:t>
      </w:r>
      <w:r w:rsidRPr="00C64518">
        <w:rPr>
          <w:rFonts w:cs="Arial"/>
          <w:iCs/>
          <w:sz w:val="22"/>
          <w:lang w:val="en-US"/>
        </w:rPr>
        <w:t xml:space="preserve">Machine learning for ecosystem services. </w:t>
      </w:r>
      <w:r w:rsidRPr="00C64518">
        <w:rPr>
          <w:rFonts w:cs="Arial"/>
          <w:i/>
          <w:iCs/>
          <w:sz w:val="22"/>
          <w:lang w:val="en-US"/>
        </w:rPr>
        <w:t>Ecosystem Services</w:t>
      </w:r>
      <w:r w:rsidRPr="00C64518">
        <w:rPr>
          <w:rFonts w:cs="Arial"/>
          <w:iCs/>
          <w:sz w:val="22"/>
          <w:lang w:val="en-US"/>
        </w:rPr>
        <w:t xml:space="preserve">, 33, 165-174. </w:t>
      </w:r>
      <w:hyperlink r:id="rId36" w:history="1">
        <w:r w:rsidRPr="00C64518">
          <w:rPr>
            <w:rStyle w:val="Hipervnculo"/>
            <w:rFonts w:cs="Arial"/>
            <w:iCs/>
            <w:sz w:val="22"/>
            <w:lang w:val="en-US"/>
          </w:rPr>
          <w:t>https://doi.org/10.1016/j.ecoser.2018.04.004</w:t>
        </w:r>
      </w:hyperlink>
      <w:r w:rsidRPr="00C64518">
        <w:rPr>
          <w:rFonts w:cs="Arial"/>
          <w:iCs/>
          <w:sz w:val="22"/>
          <w:lang w:val="en-US"/>
        </w:rPr>
        <w:t xml:space="preserve"> </w:t>
      </w:r>
    </w:p>
    <w:p w14:paraId="6546632A" w14:textId="77777777" w:rsidR="00AD5A33" w:rsidRPr="00C64518" w:rsidRDefault="00AD5A33" w:rsidP="00EA3662">
      <w:pPr>
        <w:ind w:left="425" w:hanging="425"/>
        <w:rPr>
          <w:rFonts w:cs="Arial"/>
          <w:bCs/>
          <w:sz w:val="22"/>
          <w:lang w:val="en-GB"/>
        </w:rPr>
      </w:pPr>
      <w:r w:rsidRPr="00C64518">
        <w:rPr>
          <w:rFonts w:cs="Arial"/>
          <w:bCs/>
          <w:sz w:val="22"/>
          <w:lang w:val="en-GB"/>
        </w:rPr>
        <w:t xml:space="preserve">Zeki, E. (2020). A Framework for Characterizing and Regulating Ecosystem Services in a Management Planning Context.  </w:t>
      </w:r>
      <w:r w:rsidRPr="00C64518">
        <w:rPr>
          <w:rFonts w:cs="Arial"/>
          <w:bCs/>
          <w:i/>
          <w:sz w:val="22"/>
          <w:lang w:val="en-GB"/>
        </w:rPr>
        <w:t>Forests</w:t>
      </w:r>
      <w:r w:rsidRPr="00C64518">
        <w:rPr>
          <w:rFonts w:cs="Arial"/>
          <w:bCs/>
          <w:sz w:val="22"/>
          <w:lang w:val="en-GB"/>
        </w:rPr>
        <w:t xml:space="preserve">, </w:t>
      </w:r>
      <w:r w:rsidRPr="00C64518">
        <w:rPr>
          <w:rFonts w:cs="Arial"/>
          <w:bCs/>
          <w:sz w:val="22"/>
          <w:lang w:val="en-US"/>
        </w:rPr>
        <w:t xml:space="preserve">11, 102. </w:t>
      </w:r>
      <w:proofErr w:type="spellStart"/>
      <w:r w:rsidRPr="00C64518">
        <w:rPr>
          <w:rFonts w:cs="Arial"/>
          <w:bCs/>
          <w:sz w:val="22"/>
          <w:lang w:val="en-US"/>
        </w:rPr>
        <w:t>doi</w:t>
      </w:r>
      <w:proofErr w:type="spellEnd"/>
      <w:r w:rsidRPr="00C64518">
        <w:rPr>
          <w:rFonts w:cs="Arial"/>
          <w:bCs/>
          <w:sz w:val="22"/>
          <w:lang w:val="en-US"/>
        </w:rPr>
        <w:t>:</w:t>
      </w:r>
      <w:r w:rsidRPr="00C64518">
        <w:rPr>
          <w:rFonts w:cs="Arial"/>
          <w:bCs/>
          <w:sz w:val="22"/>
          <w:lang w:val="en-GB"/>
        </w:rPr>
        <w:t>10.3390/f11010102</w:t>
      </w:r>
      <w:r w:rsidRPr="00C64518">
        <w:rPr>
          <w:rFonts w:cs="Arial"/>
          <w:bCs/>
          <w:sz w:val="22"/>
          <w:lang w:val="en-US"/>
        </w:rPr>
        <w:t xml:space="preserve">. </w:t>
      </w:r>
    </w:p>
    <w:p w14:paraId="58572E01" w14:textId="77777777" w:rsidR="00AD5A33" w:rsidRPr="00C64518" w:rsidRDefault="00AD5A33" w:rsidP="00EA3662">
      <w:pPr>
        <w:rPr>
          <w:rFonts w:cs="Arial"/>
          <w:bCs/>
          <w:sz w:val="22"/>
          <w:lang w:val="en-GB"/>
        </w:rPr>
      </w:pPr>
    </w:p>
    <w:p w14:paraId="238CBDD9" w14:textId="77777777" w:rsidR="00B42972" w:rsidRPr="00B01233" w:rsidRDefault="00B42972" w:rsidP="00EA3662">
      <w:pPr>
        <w:rPr>
          <w:b/>
          <w:sz w:val="22"/>
        </w:rPr>
      </w:pPr>
    </w:p>
    <w:sectPr w:rsidR="00B42972" w:rsidRPr="00B01233" w:rsidSect="008F569B">
      <w:headerReference w:type="even" r:id="rId37"/>
      <w:headerReference w:type="default" r:id="rId38"/>
      <w:footerReference w:type="even" r:id="rId39"/>
      <w:footerReference w:type="default" r:id="rId40"/>
      <w:headerReference w:type="first" r:id="rId41"/>
      <w:footerReference w:type="first" r:id="rId42"/>
      <w:pgSz w:w="12242" w:h="15842"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C2B15" w14:textId="77777777" w:rsidR="00BC50C5" w:rsidRDefault="00BC50C5" w:rsidP="00C960F9">
      <w:pPr>
        <w:spacing w:line="240" w:lineRule="auto"/>
      </w:pPr>
      <w:r>
        <w:separator/>
      </w:r>
    </w:p>
  </w:endnote>
  <w:endnote w:type="continuationSeparator" w:id="0">
    <w:p w14:paraId="4477C685" w14:textId="77777777" w:rsidR="00BC50C5" w:rsidRDefault="00BC50C5" w:rsidP="00C96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dvP4DF60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1DD69" w14:textId="77777777" w:rsidR="004B549C" w:rsidRDefault="004B54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466930"/>
      <w:docPartObj>
        <w:docPartGallery w:val="Page Numbers (Bottom of Page)"/>
        <w:docPartUnique/>
      </w:docPartObj>
    </w:sdtPr>
    <w:sdtEndPr>
      <w:rPr>
        <w:sz w:val="22"/>
      </w:rPr>
    </w:sdtEndPr>
    <w:sdtContent>
      <w:p w14:paraId="2CB1794E" w14:textId="77777777" w:rsidR="009E7FB0" w:rsidRPr="00C960F9" w:rsidRDefault="009E7FB0">
        <w:pPr>
          <w:pStyle w:val="Piedepgina"/>
          <w:jc w:val="right"/>
          <w:rPr>
            <w:sz w:val="22"/>
          </w:rPr>
        </w:pPr>
        <w:r w:rsidRPr="00C960F9">
          <w:rPr>
            <w:sz w:val="22"/>
          </w:rPr>
          <w:fldChar w:fldCharType="begin"/>
        </w:r>
        <w:r w:rsidRPr="00C960F9">
          <w:rPr>
            <w:sz w:val="22"/>
          </w:rPr>
          <w:instrText>PAGE   \* MERGEFORMAT</w:instrText>
        </w:r>
        <w:r w:rsidRPr="00C960F9">
          <w:rPr>
            <w:sz w:val="22"/>
          </w:rPr>
          <w:fldChar w:fldCharType="separate"/>
        </w:r>
        <w:r w:rsidR="004B549C">
          <w:rPr>
            <w:noProof/>
            <w:sz w:val="22"/>
          </w:rPr>
          <w:t>1</w:t>
        </w:r>
        <w:r w:rsidRPr="00C960F9">
          <w:rPr>
            <w:sz w:val="22"/>
          </w:rPr>
          <w:fldChar w:fldCharType="end"/>
        </w:r>
      </w:p>
    </w:sdtContent>
  </w:sdt>
  <w:p w14:paraId="2F8777E9" w14:textId="77777777" w:rsidR="009E7FB0" w:rsidRDefault="009E7F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D123" w14:textId="77777777" w:rsidR="004B549C" w:rsidRDefault="004B54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F2176" w14:textId="77777777" w:rsidR="00BC50C5" w:rsidRDefault="00BC50C5" w:rsidP="00C960F9">
      <w:pPr>
        <w:spacing w:line="240" w:lineRule="auto"/>
      </w:pPr>
      <w:r>
        <w:separator/>
      </w:r>
    </w:p>
  </w:footnote>
  <w:footnote w:type="continuationSeparator" w:id="0">
    <w:p w14:paraId="47D87B71" w14:textId="77777777" w:rsidR="00BC50C5" w:rsidRDefault="00BC50C5" w:rsidP="00C960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ECEEC" w14:textId="77777777" w:rsidR="004B549C" w:rsidRDefault="004B54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E29C" w14:textId="77777777" w:rsidR="004B549C" w:rsidRDefault="004B549C" w:rsidP="004B549C">
    <w:pPr>
      <w:pStyle w:val="Encabezado"/>
      <w:jc w:val="center"/>
      <w:rPr>
        <w:rFonts w:cs="Arial"/>
        <w:b/>
        <w:sz w:val="20"/>
      </w:rPr>
    </w:pPr>
    <w:r>
      <w:rPr>
        <w:rFonts w:cs="Arial"/>
        <w:b/>
        <w:sz w:val="20"/>
      </w:rPr>
      <w:t>Revista Cuba&amp;Caña. Vol. 25 Núm. 2 (2024). ISSN: 1028-6527, RNPS: 0605, e-RNPS: 2258</w:t>
    </w:r>
  </w:p>
  <w:p w14:paraId="62B9B869" w14:textId="77777777" w:rsidR="004B549C" w:rsidRDefault="004B549C">
    <w:pPr>
      <w:pStyle w:val="Encabezado"/>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FBE2" w14:textId="77777777" w:rsidR="004B549C" w:rsidRDefault="004B54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2864"/>
    <w:multiLevelType w:val="hybridMultilevel"/>
    <w:tmpl w:val="9E9AEC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6A26CD"/>
    <w:multiLevelType w:val="hybridMultilevel"/>
    <w:tmpl w:val="7826A7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776F86"/>
    <w:multiLevelType w:val="hybridMultilevel"/>
    <w:tmpl w:val="756AF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9F6BA5"/>
    <w:multiLevelType w:val="hybridMultilevel"/>
    <w:tmpl w:val="EC8426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070E89"/>
    <w:multiLevelType w:val="hybridMultilevel"/>
    <w:tmpl w:val="7172C0C2"/>
    <w:lvl w:ilvl="0" w:tplc="DFDCA958">
      <w:start w:val="1"/>
      <w:numFmt w:val="decimal"/>
      <w:lvlText w:val="%1."/>
      <w:lvlJc w:val="left"/>
      <w:pPr>
        <w:ind w:left="720" w:hanging="360"/>
      </w:pPr>
      <w:rPr>
        <w:rFonts w:hint="default"/>
        <w:b w:val="0"/>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57EF2523"/>
    <w:multiLevelType w:val="hybridMultilevel"/>
    <w:tmpl w:val="9B06B7F8"/>
    <w:lvl w:ilvl="0" w:tplc="29B6B5B8">
      <w:start w:val="1"/>
      <w:numFmt w:val="decimal"/>
      <w:lvlText w:val="%1."/>
      <w:lvlJc w:val="left"/>
      <w:pPr>
        <w:ind w:left="720" w:hanging="360"/>
      </w:pPr>
      <w:rPr>
        <w:rFonts w:ascii="Bell MT" w:hAnsi="Bell 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3B"/>
    <w:rsid w:val="000076DE"/>
    <w:rsid w:val="000165B0"/>
    <w:rsid w:val="00030BEB"/>
    <w:rsid w:val="00037B3A"/>
    <w:rsid w:val="00042E6A"/>
    <w:rsid w:val="00082C5E"/>
    <w:rsid w:val="00085BA1"/>
    <w:rsid w:val="00092840"/>
    <w:rsid w:val="000A104F"/>
    <w:rsid w:val="000B3DC8"/>
    <w:rsid w:val="000C0C10"/>
    <w:rsid w:val="000D7DB1"/>
    <w:rsid w:val="000E08FE"/>
    <w:rsid w:val="000E3A68"/>
    <w:rsid w:val="000E5C8A"/>
    <w:rsid w:val="000E65C6"/>
    <w:rsid w:val="000F7ABE"/>
    <w:rsid w:val="00106E35"/>
    <w:rsid w:val="0012037D"/>
    <w:rsid w:val="00146EB9"/>
    <w:rsid w:val="0017525B"/>
    <w:rsid w:val="00176F25"/>
    <w:rsid w:val="0018411C"/>
    <w:rsid w:val="001870FB"/>
    <w:rsid w:val="00192746"/>
    <w:rsid w:val="001A653B"/>
    <w:rsid w:val="001D3711"/>
    <w:rsid w:val="001D415C"/>
    <w:rsid w:val="001D49C6"/>
    <w:rsid w:val="00203CCB"/>
    <w:rsid w:val="00206D94"/>
    <w:rsid w:val="002152B3"/>
    <w:rsid w:val="00226660"/>
    <w:rsid w:val="002305BC"/>
    <w:rsid w:val="00252525"/>
    <w:rsid w:val="00295A0B"/>
    <w:rsid w:val="002E298C"/>
    <w:rsid w:val="00301B80"/>
    <w:rsid w:val="003134A1"/>
    <w:rsid w:val="00316CF0"/>
    <w:rsid w:val="00320737"/>
    <w:rsid w:val="00325D7B"/>
    <w:rsid w:val="00340943"/>
    <w:rsid w:val="00351FF4"/>
    <w:rsid w:val="0035652D"/>
    <w:rsid w:val="00361810"/>
    <w:rsid w:val="00375324"/>
    <w:rsid w:val="00384A3B"/>
    <w:rsid w:val="003940E0"/>
    <w:rsid w:val="003A5CB2"/>
    <w:rsid w:val="003B74A2"/>
    <w:rsid w:val="003D504E"/>
    <w:rsid w:val="003F4203"/>
    <w:rsid w:val="004243D4"/>
    <w:rsid w:val="00457515"/>
    <w:rsid w:val="0048337F"/>
    <w:rsid w:val="00491FB0"/>
    <w:rsid w:val="004B3E23"/>
    <w:rsid w:val="004B549C"/>
    <w:rsid w:val="004D28CE"/>
    <w:rsid w:val="004E065C"/>
    <w:rsid w:val="004E1379"/>
    <w:rsid w:val="004F7F7F"/>
    <w:rsid w:val="005355F6"/>
    <w:rsid w:val="00537B29"/>
    <w:rsid w:val="00567DDB"/>
    <w:rsid w:val="00575141"/>
    <w:rsid w:val="00591092"/>
    <w:rsid w:val="005B0A94"/>
    <w:rsid w:val="005B5550"/>
    <w:rsid w:val="005C063F"/>
    <w:rsid w:val="005F386B"/>
    <w:rsid w:val="005F5733"/>
    <w:rsid w:val="00612B22"/>
    <w:rsid w:val="0061728D"/>
    <w:rsid w:val="00621819"/>
    <w:rsid w:val="00662A8E"/>
    <w:rsid w:val="006771B1"/>
    <w:rsid w:val="006A253E"/>
    <w:rsid w:val="006B76BE"/>
    <w:rsid w:val="00722DA6"/>
    <w:rsid w:val="00743E62"/>
    <w:rsid w:val="007444B8"/>
    <w:rsid w:val="0075741C"/>
    <w:rsid w:val="0077279D"/>
    <w:rsid w:val="00782902"/>
    <w:rsid w:val="007831C1"/>
    <w:rsid w:val="00796B31"/>
    <w:rsid w:val="007A24D9"/>
    <w:rsid w:val="007A2E75"/>
    <w:rsid w:val="007C3AE2"/>
    <w:rsid w:val="007F5235"/>
    <w:rsid w:val="00812919"/>
    <w:rsid w:val="00820FDD"/>
    <w:rsid w:val="00864090"/>
    <w:rsid w:val="008657B5"/>
    <w:rsid w:val="00883F6A"/>
    <w:rsid w:val="008E0E82"/>
    <w:rsid w:val="008F088F"/>
    <w:rsid w:val="008F3CCC"/>
    <w:rsid w:val="008F569B"/>
    <w:rsid w:val="0092027F"/>
    <w:rsid w:val="00976268"/>
    <w:rsid w:val="009A6EA4"/>
    <w:rsid w:val="009C46AE"/>
    <w:rsid w:val="009D3B43"/>
    <w:rsid w:val="009E7FB0"/>
    <w:rsid w:val="009F7276"/>
    <w:rsid w:val="00A21A3C"/>
    <w:rsid w:val="00A25CBC"/>
    <w:rsid w:val="00A721DA"/>
    <w:rsid w:val="00AD5A33"/>
    <w:rsid w:val="00AE5D04"/>
    <w:rsid w:val="00B0060C"/>
    <w:rsid w:val="00B01233"/>
    <w:rsid w:val="00B049B3"/>
    <w:rsid w:val="00B40FDE"/>
    <w:rsid w:val="00B42972"/>
    <w:rsid w:val="00B940FB"/>
    <w:rsid w:val="00BA256F"/>
    <w:rsid w:val="00BA2CFF"/>
    <w:rsid w:val="00BC50C5"/>
    <w:rsid w:val="00BD0A33"/>
    <w:rsid w:val="00BF1F5D"/>
    <w:rsid w:val="00C02032"/>
    <w:rsid w:val="00C52EBE"/>
    <w:rsid w:val="00C649F8"/>
    <w:rsid w:val="00C92313"/>
    <w:rsid w:val="00C960F9"/>
    <w:rsid w:val="00CB14E1"/>
    <w:rsid w:val="00CC2D48"/>
    <w:rsid w:val="00CD29BC"/>
    <w:rsid w:val="00CE42F9"/>
    <w:rsid w:val="00D0590D"/>
    <w:rsid w:val="00D223DA"/>
    <w:rsid w:val="00D338B4"/>
    <w:rsid w:val="00D513BE"/>
    <w:rsid w:val="00D5232E"/>
    <w:rsid w:val="00D53208"/>
    <w:rsid w:val="00D75A36"/>
    <w:rsid w:val="00D9281D"/>
    <w:rsid w:val="00E007AB"/>
    <w:rsid w:val="00E04413"/>
    <w:rsid w:val="00E048FF"/>
    <w:rsid w:val="00E121CB"/>
    <w:rsid w:val="00E125EC"/>
    <w:rsid w:val="00E4123A"/>
    <w:rsid w:val="00E74C0F"/>
    <w:rsid w:val="00E74FF2"/>
    <w:rsid w:val="00E81C2E"/>
    <w:rsid w:val="00E83857"/>
    <w:rsid w:val="00E94A89"/>
    <w:rsid w:val="00E96BF5"/>
    <w:rsid w:val="00EA3662"/>
    <w:rsid w:val="00EA6258"/>
    <w:rsid w:val="00EE7563"/>
    <w:rsid w:val="00F03E9A"/>
    <w:rsid w:val="00F226F5"/>
    <w:rsid w:val="00F422DD"/>
    <w:rsid w:val="00F555FC"/>
    <w:rsid w:val="00F7054D"/>
    <w:rsid w:val="00F800BF"/>
    <w:rsid w:val="00F91EE3"/>
    <w:rsid w:val="00FA0B40"/>
    <w:rsid w:val="00FB714F"/>
    <w:rsid w:val="00FD30DF"/>
    <w:rsid w:val="00FF5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A2A5"/>
  <w15:docId w15:val="{1AFA886C-8F74-4367-8A06-CF18395F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268"/>
    <w:rPr>
      <w:rFonts w:ascii="Arial" w:hAnsi="Arial"/>
    </w:rPr>
  </w:style>
  <w:style w:type="paragraph" w:styleId="Ttulo2">
    <w:name w:val="heading 2"/>
    <w:basedOn w:val="Normal"/>
    <w:next w:val="Normal"/>
    <w:link w:val="Ttulo2Car"/>
    <w:uiPriority w:val="9"/>
    <w:semiHidden/>
    <w:unhideWhenUsed/>
    <w:qFormat/>
    <w:rsid w:val="004E06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E065C"/>
    <w:pPr>
      <w:keepNext/>
      <w:keepLines/>
      <w:spacing w:before="120" w:after="120" w:line="480" w:lineRule="auto"/>
      <w:outlineLvl w:val="2"/>
    </w:pPr>
    <w:rPr>
      <w:rFonts w:ascii="Bell MT" w:eastAsiaTheme="majorEastAsia" w:hAnsi="Bell MT"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4E065C"/>
    <w:rPr>
      <w:rFonts w:ascii="Bell MT" w:eastAsiaTheme="majorEastAsia" w:hAnsi="Bell MT" w:cstheme="majorBidi"/>
      <w:b/>
      <w:szCs w:val="24"/>
    </w:rPr>
  </w:style>
  <w:style w:type="character" w:customStyle="1" w:styleId="Ttulo2Car">
    <w:name w:val="Título 2 Car"/>
    <w:basedOn w:val="Fuentedeprrafopredeter"/>
    <w:link w:val="Ttulo2"/>
    <w:uiPriority w:val="9"/>
    <w:semiHidden/>
    <w:rsid w:val="004E065C"/>
    <w:rPr>
      <w:rFonts w:asciiTheme="majorHAnsi" w:eastAsiaTheme="majorEastAsia" w:hAnsiTheme="majorHAnsi" w:cstheme="majorBidi"/>
      <w:color w:val="2E74B5" w:themeColor="accent1" w:themeShade="BF"/>
      <w:sz w:val="26"/>
      <w:szCs w:val="26"/>
    </w:rPr>
  </w:style>
  <w:style w:type="table" w:customStyle="1" w:styleId="Tablanormal321">
    <w:name w:val="Tabla normal 321"/>
    <w:basedOn w:val="Tablanormal"/>
    <w:next w:val="Tablanormal"/>
    <w:uiPriority w:val="43"/>
    <w:rsid w:val="000A104F"/>
    <w:pPr>
      <w:spacing w:line="240" w:lineRule="auto"/>
    </w:pPr>
    <w:rPr>
      <w:rFonts w:ascii="Arial" w:hAnsi="Arial" w:cs="Times New Roman"/>
    </w:rPr>
    <w:tblPr>
      <w:tblStyleRowBandSize w:val="1"/>
      <w:tblStyleColBandSize w:val="1"/>
      <w:tblInd w:w="0" w:type="dxa"/>
      <w:tblBorders>
        <w:top w:val="single" w:sz="4" w:space="0" w:color="auto"/>
        <w:bottom w:val="single" w:sz="4" w:space="0" w:color="auto"/>
      </w:tblBorders>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2152B3"/>
    <w:pPr>
      <w:spacing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2152B3"/>
    <w:pPr>
      <w:spacing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2152B3"/>
    <w:pPr>
      <w:spacing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42972"/>
    <w:pPr>
      <w:ind w:left="720"/>
      <w:contextualSpacing/>
    </w:pPr>
  </w:style>
  <w:style w:type="paragraph" w:customStyle="1" w:styleId="DrCTIParrafo">
    <w:name w:val="DrCTI_Parrafo"/>
    <w:basedOn w:val="Normal"/>
    <w:link w:val="DrCTIParrafoCar"/>
    <w:qFormat/>
    <w:rsid w:val="004D28CE"/>
    <w:pPr>
      <w:spacing w:before="240" w:after="240" w:line="480" w:lineRule="auto"/>
    </w:pPr>
    <w:rPr>
      <w:rFonts w:asciiTheme="minorHAnsi" w:hAnsiTheme="minorHAnsi"/>
      <w:lang w:val="es-US"/>
    </w:rPr>
  </w:style>
  <w:style w:type="character" w:customStyle="1" w:styleId="DrCTIParrafoCar">
    <w:name w:val="DrCTI_Parrafo Car"/>
    <w:basedOn w:val="Fuentedeprrafopredeter"/>
    <w:link w:val="DrCTIParrafo"/>
    <w:rsid w:val="004D28CE"/>
    <w:rPr>
      <w:rFonts w:asciiTheme="minorHAnsi" w:hAnsiTheme="minorHAnsi"/>
      <w:lang w:val="es-US"/>
    </w:rPr>
  </w:style>
  <w:style w:type="character" w:styleId="Hipervnculo">
    <w:name w:val="Hyperlink"/>
    <w:uiPriority w:val="99"/>
    <w:rsid w:val="00AD5A33"/>
    <w:rPr>
      <w:color w:val="0000FF"/>
      <w:u w:val="single"/>
    </w:rPr>
  </w:style>
  <w:style w:type="paragraph" w:styleId="Textocomentario">
    <w:name w:val="annotation text"/>
    <w:basedOn w:val="Normal"/>
    <w:link w:val="TextocomentarioCar"/>
    <w:uiPriority w:val="99"/>
    <w:unhideWhenUsed/>
    <w:rsid w:val="00AD5A33"/>
    <w:pPr>
      <w:spacing w:line="240" w:lineRule="auto"/>
    </w:pPr>
    <w:rPr>
      <w:rFonts w:ascii="Bell MT" w:hAnsi="Bell MT" w:cs="Times New Roman"/>
      <w:sz w:val="20"/>
      <w:szCs w:val="20"/>
    </w:rPr>
  </w:style>
  <w:style w:type="character" w:customStyle="1" w:styleId="TextocomentarioCar">
    <w:name w:val="Texto comentario Car"/>
    <w:basedOn w:val="Fuentedeprrafopredeter"/>
    <w:link w:val="Textocomentario"/>
    <w:uiPriority w:val="99"/>
    <w:rsid w:val="00AD5A33"/>
    <w:rPr>
      <w:rFonts w:ascii="Bell MT" w:hAnsi="Bell MT" w:cs="Times New Roman"/>
      <w:sz w:val="20"/>
      <w:szCs w:val="20"/>
    </w:rPr>
  </w:style>
  <w:style w:type="character" w:customStyle="1" w:styleId="gnkrckgcgsb">
    <w:name w:val="gnkrckgcgsb"/>
    <w:basedOn w:val="Fuentedeprrafopredeter"/>
    <w:rsid w:val="00AD5A33"/>
  </w:style>
  <w:style w:type="paragraph" w:styleId="Encabezado">
    <w:name w:val="header"/>
    <w:basedOn w:val="Normal"/>
    <w:link w:val="EncabezadoCar"/>
    <w:uiPriority w:val="99"/>
    <w:unhideWhenUsed/>
    <w:rsid w:val="00C960F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960F9"/>
    <w:rPr>
      <w:rFonts w:ascii="Arial" w:hAnsi="Arial"/>
    </w:rPr>
  </w:style>
  <w:style w:type="paragraph" w:styleId="Piedepgina">
    <w:name w:val="footer"/>
    <w:basedOn w:val="Normal"/>
    <w:link w:val="PiedepginaCar"/>
    <w:uiPriority w:val="99"/>
    <w:unhideWhenUsed/>
    <w:rsid w:val="00C960F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960F9"/>
    <w:rPr>
      <w:rFonts w:ascii="Arial" w:hAnsi="Arial"/>
    </w:rPr>
  </w:style>
  <w:style w:type="character" w:styleId="Refdecomentario">
    <w:name w:val="annotation reference"/>
    <w:basedOn w:val="Fuentedeprrafopredeter"/>
    <w:uiPriority w:val="99"/>
    <w:semiHidden/>
    <w:unhideWhenUsed/>
    <w:rsid w:val="006B76BE"/>
    <w:rPr>
      <w:sz w:val="16"/>
      <w:szCs w:val="16"/>
    </w:rPr>
  </w:style>
  <w:style w:type="paragraph" w:styleId="Asuntodelcomentario">
    <w:name w:val="annotation subject"/>
    <w:basedOn w:val="Textocomentario"/>
    <w:next w:val="Textocomentario"/>
    <w:link w:val="AsuntodelcomentarioCar"/>
    <w:uiPriority w:val="99"/>
    <w:semiHidden/>
    <w:unhideWhenUsed/>
    <w:rsid w:val="006B76BE"/>
    <w:rPr>
      <w:rFonts w:ascii="Arial" w:hAnsi="Arial" w:cstheme="minorBidi"/>
      <w:b/>
      <w:bCs/>
    </w:rPr>
  </w:style>
  <w:style w:type="character" w:customStyle="1" w:styleId="AsuntodelcomentarioCar">
    <w:name w:val="Asunto del comentario Car"/>
    <w:basedOn w:val="TextocomentarioCar"/>
    <w:link w:val="Asuntodelcomentario"/>
    <w:uiPriority w:val="99"/>
    <w:semiHidden/>
    <w:rsid w:val="006B76BE"/>
    <w:rPr>
      <w:rFonts w:ascii="Arial" w:hAnsi="Arial" w:cs="Times New Roman"/>
      <w:b/>
      <w:bCs/>
      <w:sz w:val="20"/>
      <w:szCs w:val="20"/>
    </w:rPr>
  </w:style>
  <w:style w:type="paragraph" w:styleId="Textodeglobo">
    <w:name w:val="Balloon Text"/>
    <w:basedOn w:val="Normal"/>
    <w:link w:val="TextodegloboCar"/>
    <w:uiPriority w:val="99"/>
    <w:semiHidden/>
    <w:unhideWhenUsed/>
    <w:rsid w:val="006B76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6BE"/>
    <w:rPr>
      <w:rFonts w:ascii="Tahoma" w:hAnsi="Tahoma" w:cs="Tahoma"/>
      <w:sz w:val="16"/>
      <w:szCs w:val="16"/>
    </w:rPr>
  </w:style>
  <w:style w:type="character" w:customStyle="1" w:styleId="UnresolvedMention">
    <w:name w:val="Unresolved Mention"/>
    <w:basedOn w:val="Fuentedeprrafopredeter"/>
    <w:uiPriority w:val="99"/>
    <w:semiHidden/>
    <w:unhideWhenUsed/>
    <w:rsid w:val="00782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262/cienciadigital.v2i4.1..189" TargetMode="External"/><Relationship Id="rId18" Type="http://schemas.openxmlformats.org/officeDocument/2006/relationships/hyperlink" Target="http://doi.org/10.31910/rudca.v25.n2.2022.2334" TargetMode="External"/><Relationship Id="rId26" Type="http://schemas.openxmlformats.org/officeDocument/2006/relationships/hyperlink" Target="http://digital.csic.es/bitstream/10261/156293/1/Maranon_Mat_org_octubre2017.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07/978-1-0716-1418-1" TargetMode="External"/><Relationship Id="rId34" Type="http://schemas.openxmlformats.org/officeDocument/2006/relationships/hyperlink" Target="http://centroazucar.uclv.edu.cu/index.php/centro_azucar/article/download/320/312/349" TargetMode="External"/><Relationship Id="rId42" Type="http://schemas.openxmlformats.org/officeDocument/2006/relationships/footer" Target="footer3.xml"/><Relationship Id="rId7" Type="http://schemas.openxmlformats.org/officeDocument/2006/relationships/hyperlink" Target="mailto:yasmanygarcia31@gmail.com" TargetMode="External"/><Relationship Id="rId12" Type="http://schemas.openxmlformats.org/officeDocument/2006/relationships/image" Target="media/image4.png"/><Relationship Id="rId17" Type="http://schemas.openxmlformats.org/officeDocument/2006/relationships/hyperlink" Target="http://centroazucar.uclv.edu.cu/index.php/centro_azucar/article/download/52/45/73" TargetMode="External"/><Relationship Id="rId25" Type="http://schemas.openxmlformats.org/officeDocument/2006/relationships/hyperlink" Target="https://www.researchgate.net/publication/267210763_The_Provision_of_Forest_Ecosystem_Services_-What_Science_Can_Tell_Us_5_2014_Volume_I_Quantifying_and_valuing_non-marketed_ecosystem_services_and_Volume_II_Assessing_cost_of_provision_and_designing_eco/download" TargetMode="External"/><Relationship Id="rId33" Type="http://schemas.openxmlformats.org/officeDocument/2006/relationships/hyperlink" Target="http://scielo.sld.cu/pdf/caz/v43n1/caz06116.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ogle.com/url?esrc=s&amp;q=&amp;rct=j&amp;sa=U&amp;url=https://anuarioeco.uo.edu.cu/index.php/aeco/article/view/5144/4617&amp;ved=2ahUKEwiMl93V3fvxAhXqRTABHR9qBhYQFjADegQICBAB&amp;usg=AOvVaw0TQglq602lyZw1ZZAYgaFZ" TargetMode="External"/><Relationship Id="rId20" Type="http://schemas.openxmlformats.org/officeDocument/2006/relationships/hyperlink" Target="https://doi.org/10.1007/s12355-019-00776-z" TargetMode="External"/><Relationship Id="rId29" Type="http://schemas.openxmlformats.org/officeDocument/2006/relationships/hyperlink" Target="http://centroazucar.uclv.edu.cu/index.php/centro_azucar/article/download/245/236/272"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centroazucar.uclv.edu.cu/index.php/centro_azucar/article/download/344/336/373" TargetMode="External"/><Relationship Id="rId32" Type="http://schemas.openxmlformats.org/officeDocument/2006/relationships/hyperlink" Target="https://doi.org/10.1007/978-1-4842-4215-5"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evistas.uo.edu.cu/index.php/aeco/article/viewFile/545/521" TargetMode="External"/><Relationship Id="rId23" Type="http://schemas.openxmlformats.org/officeDocument/2006/relationships/hyperlink" Target="https://doi.org/10.1007/978-981-15-2144-7" TargetMode="External"/><Relationship Id="rId28" Type="http://schemas.openxmlformats.org/officeDocument/2006/relationships/hyperlink" Target="http://dx.doi.org/10.1016/j.compag.2016.05.016" TargetMode="External"/><Relationship Id="rId36" Type="http://schemas.openxmlformats.org/officeDocument/2006/relationships/hyperlink" Target="https://doi.org/10.1016/j.ecoser.2018.04.004" TargetMode="External"/><Relationship Id="rId10" Type="http://schemas.openxmlformats.org/officeDocument/2006/relationships/image" Target="media/image2.png"/><Relationship Id="rId19" Type="http://schemas.openxmlformats.org/officeDocument/2006/relationships/hyperlink" Target="https://www.academia.edu/29924196/P%C3%89RDIDAS_INDETERMINADAS_EN_LA_PRODOUCCI%C3%93N_DE_AZ%C3%9ACAR" TargetMode="External"/><Relationship Id="rId31" Type="http://schemas.openxmlformats.org/officeDocument/2006/relationships/hyperlink" Target="http://dx.doi.org/10.4236/ars.2016.520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dx.doi.org/10.1016/j.catena.2017.02.018" TargetMode="External"/><Relationship Id="rId22" Type="http://schemas.openxmlformats.org/officeDocument/2006/relationships/hyperlink" Target="https://doi.org/10.1007/s12355-020-00900-4" TargetMode="External"/><Relationship Id="rId27" Type="http://schemas.openxmlformats.org/officeDocument/2006/relationships/hyperlink" Target="https://doi.org/10.1016/j.indcrop.2020.112514" TargetMode="External"/><Relationship Id="rId30" Type="http://schemas.openxmlformats.org/officeDocument/2006/relationships/hyperlink" Target="https://www.R-project.org/" TargetMode="External"/><Relationship Id="rId35" Type="http://schemas.openxmlformats.org/officeDocument/2006/relationships/hyperlink" Target="https://doi.org/10.1016/j.lwt.2020.109058"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5352</Words>
  <Characters>29442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YASMANY</dc:creator>
  <cp:keywords/>
  <dc:description/>
  <cp:lastModifiedBy>Jenny Gipsy Pina Lopez</cp:lastModifiedBy>
  <cp:revision>3</cp:revision>
  <dcterms:created xsi:type="dcterms:W3CDTF">2024-09-20T04:54:00Z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2368f5f2956afdb3d8e14c429853eca2e199bc33db141d53a2076e536243bda8</vt:lpwstr>
  </property>
</Properties>
</file>